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1F" w:rsidRPr="00D632B7" w:rsidRDefault="004E50A6" w:rsidP="00330543">
      <w:pPr>
        <w:pStyle w:val="BodyText2"/>
        <w:jc w:val="center"/>
        <w:rPr>
          <w:b/>
        </w:rPr>
      </w:pPr>
      <w:r w:rsidRPr="00D632B7">
        <w:fldChar w:fldCharType="begin"/>
      </w:r>
      <w:r w:rsidRPr="00D632B7">
        <w:instrText xml:space="preserve"> TITLE  </w:instrText>
      </w:r>
      <w:r w:rsidRPr="00D632B7">
        <w:fldChar w:fldCharType="separate"/>
      </w:r>
      <w:r w:rsidR="001620A9" w:rsidRPr="00D632B7">
        <w:rPr>
          <w:b/>
        </w:rPr>
        <w:t xml:space="preserve">Saeimas lēmuma projekta ”Par termiņa pagarināšanu Latvijas Nacionālo bruņoto spēku karavīru dalībai Ziemeļatlantijas līguma organizācijas vadītajā operācijā Afganistānā” </w:t>
      </w:r>
      <w:r w:rsidR="00B10BD8">
        <w:rPr>
          <w:b/>
        </w:rPr>
        <w:t>sākotnējās ietekmes izvērtējuma ziņojums</w:t>
      </w:r>
      <w:r w:rsidR="0097321F" w:rsidRPr="00D632B7">
        <w:rPr>
          <w:b/>
        </w:rPr>
        <w:t xml:space="preserve"> (anotācija)</w:t>
      </w:r>
    </w:p>
    <w:p w:rsidR="004E50A6" w:rsidRPr="00221BBF" w:rsidRDefault="004E50A6" w:rsidP="00740360">
      <w:pPr>
        <w:tabs>
          <w:tab w:val="left" w:pos="6735"/>
        </w:tabs>
        <w:ind w:right="-315"/>
      </w:pPr>
      <w:r w:rsidRPr="00D632B7">
        <w:rPr>
          <w:b/>
        </w:rPr>
        <w:fldChar w:fldCharType="end"/>
      </w:r>
    </w:p>
    <w:tbl>
      <w:tblPr>
        <w:tblW w:w="9256" w:type="dxa"/>
        <w:tblCellSpacing w:w="0" w:type="dxa"/>
        <w:tblInd w:w="29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0"/>
        <w:gridCol w:w="3377"/>
        <w:gridCol w:w="5589"/>
      </w:tblGrid>
      <w:tr w:rsidR="004E50A6" w:rsidRPr="00221BBF" w:rsidTr="000E7E3E">
        <w:trPr>
          <w:tblCellSpacing w:w="0" w:type="dxa"/>
        </w:trPr>
        <w:tc>
          <w:tcPr>
            <w:tcW w:w="9256" w:type="dxa"/>
            <w:gridSpan w:val="3"/>
            <w:tcBorders>
              <w:top w:val="outset" w:sz="6" w:space="0" w:color="auto"/>
              <w:left w:val="outset" w:sz="6" w:space="0" w:color="auto"/>
              <w:bottom w:val="outset" w:sz="6" w:space="0" w:color="auto"/>
              <w:right w:val="outset" w:sz="6" w:space="0" w:color="auto"/>
            </w:tcBorders>
            <w:vAlign w:val="center"/>
          </w:tcPr>
          <w:p w:rsidR="004E50A6" w:rsidRPr="00221BBF" w:rsidRDefault="004E50A6" w:rsidP="004E50A6">
            <w:pPr>
              <w:pStyle w:val="naisc"/>
            </w:pPr>
            <w:r w:rsidRPr="00221BBF">
              <w:t> </w:t>
            </w:r>
            <w:r w:rsidRPr="00221BBF">
              <w:rPr>
                <w:b/>
                <w:bCs/>
              </w:rPr>
              <w:t> I. Tiesību akta projekta izstrādes nepieciešamība</w:t>
            </w:r>
          </w:p>
        </w:tc>
      </w:tr>
      <w:tr w:rsidR="004E50A6" w:rsidRPr="00221BBF" w:rsidTr="005979A0">
        <w:trPr>
          <w:trHeight w:val="377"/>
          <w:tblCellSpacing w:w="0" w:type="dxa"/>
        </w:trPr>
        <w:tc>
          <w:tcPr>
            <w:tcW w:w="290" w:type="dxa"/>
            <w:tcBorders>
              <w:top w:val="outset" w:sz="6" w:space="0" w:color="auto"/>
              <w:left w:val="outset" w:sz="6" w:space="0" w:color="auto"/>
              <w:bottom w:val="outset" w:sz="6" w:space="0" w:color="auto"/>
              <w:right w:val="outset" w:sz="6" w:space="0" w:color="auto"/>
            </w:tcBorders>
          </w:tcPr>
          <w:p w:rsidR="004E50A6" w:rsidRPr="00221BBF" w:rsidRDefault="004E50A6" w:rsidP="004E50A6">
            <w:pPr>
              <w:pStyle w:val="naiskr"/>
            </w:pPr>
            <w:r w:rsidRPr="00221BBF">
              <w:t> 1.</w:t>
            </w:r>
          </w:p>
        </w:tc>
        <w:tc>
          <w:tcPr>
            <w:tcW w:w="3377" w:type="dxa"/>
            <w:tcBorders>
              <w:top w:val="outset" w:sz="6" w:space="0" w:color="auto"/>
              <w:left w:val="outset" w:sz="6" w:space="0" w:color="auto"/>
              <w:bottom w:val="outset" w:sz="6" w:space="0" w:color="auto"/>
              <w:right w:val="outset" w:sz="6" w:space="0" w:color="auto"/>
            </w:tcBorders>
          </w:tcPr>
          <w:p w:rsidR="004E50A6" w:rsidRPr="00221BBF" w:rsidRDefault="004E50A6" w:rsidP="004E50A6">
            <w:pPr>
              <w:pStyle w:val="naislab"/>
            </w:pPr>
            <w:r w:rsidRPr="00221BBF">
              <w:t> Pamatojums</w:t>
            </w:r>
          </w:p>
        </w:tc>
        <w:tc>
          <w:tcPr>
            <w:tcW w:w="5589" w:type="dxa"/>
            <w:tcBorders>
              <w:top w:val="outset" w:sz="6" w:space="0" w:color="auto"/>
              <w:left w:val="outset" w:sz="6" w:space="0" w:color="auto"/>
              <w:bottom w:val="outset" w:sz="6" w:space="0" w:color="auto"/>
              <w:right w:val="outset" w:sz="6" w:space="0" w:color="auto"/>
            </w:tcBorders>
          </w:tcPr>
          <w:p w:rsidR="0037046E" w:rsidRPr="00221BBF" w:rsidRDefault="002413A6" w:rsidP="00E96162">
            <w:pPr>
              <w:pStyle w:val="Heading1"/>
              <w:ind w:left="25"/>
              <w:jc w:val="both"/>
              <w:rPr>
                <w:rFonts w:ascii="Times New Roman" w:hAnsi="Times New Roman" w:cs="Times New Roman"/>
                <w:b w:val="0"/>
                <w:sz w:val="24"/>
                <w:szCs w:val="24"/>
              </w:rPr>
            </w:pPr>
            <w:r w:rsidRPr="00221BBF">
              <w:rPr>
                <w:rFonts w:ascii="Times New Roman" w:hAnsi="Times New Roman" w:cs="Times New Roman"/>
                <w:b w:val="0"/>
                <w:sz w:val="24"/>
                <w:szCs w:val="24"/>
              </w:rPr>
              <w:t xml:space="preserve">Deklarācijas par </w:t>
            </w:r>
            <w:r w:rsidR="000B6F42" w:rsidRPr="00221BBF">
              <w:rPr>
                <w:rFonts w:ascii="Times New Roman" w:hAnsi="Times New Roman" w:cs="Times New Roman"/>
                <w:b w:val="0"/>
                <w:sz w:val="24"/>
                <w:szCs w:val="24"/>
              </w:rPr>
              <w:t>Māra Kučinska vadītā Ministru kabineta iecerēto darbību īstenošanai</w:t>
            </w:r>
            <w:r w:rsidRPr="00221BBF">
              <w:rPr>
                <w:rFonts w:ascii="Times New Roman" w:hAnsi="Times New Roman" w:cs="Times New Roman"/>
                <w:b w:val="0"/>
                <w:sz w:val="24"/>
                <w:szCs w:val="24"/>
              </w:rPr>
              <w:t xml:space="preserve"> </w:t>
            </w:r>
            <w:r w:rsidR="00E96162" w:rsidRPr="00221BBF">
              <w:rPr>
                <w:rFonts w:ascii="Times New Roman" w:hAnsi="Times New Roman" w:cs="Times New Roman"/>
                <w:b w:val="0"/>
                <w:sz w:val="24"/>
                <w:szCs w:val="24"/>
              </w:rPr>
              <w:t>79</w:t>
            </w:r>
            <w:r w:rsidRPr="00221BBF">
              <w:rPr>
                <w:rFonts w:ascii="Times New Roman" w:hAnsi="Times New Roman" w:cs="Times New Roman"/>
                <w:b w:val="0"/>
                <w:sz w:val="24"/>
                <w:szCs w:val="24"/>
              </w:rPr>
              <w:t>. punkts: „</w:t>
            </w:r>
            <w:r w:rsidR="00E96162" w:rsidRPr="00221BBF">
              <w:rPr>
                <w:rFonts w:ascii="Times New Roman" w:hAnsi="Times New Roman" w:cs="Times New Roman"/>
                <w:b w:val="0"/>
                <w:sz w:val="24"/>
                <w:szCs w:val="24"/>
              </w:rPr>
              <w:t>Līdzdarbosimies NATO kolektīvās aizsardzības sistēmas stiprināšanas pasākumos, nodrošinot uzņemošās valsts atbalstu sabiedroto spēku klātbūtnei Latvijas teritorijā, paplašinot sabiedroto spēju uzņemšanai nepieciešamo infrastruktūru un apmācību iespējas, kā arī piedaloties starptautiskajās mācībās, misijās un operācijās</w:t>
            </w:r>
            <w:r w:rsidRPr="00221BBF">
              <w:rPr>
                <w:rFonts w:ascii="Times New Roman" w:hAnsi="Times New Roman" w:cs="Times New Roman"/>
                <w:b w:val="0"/>
                <w:sz w:val="24"/>
                <w:szCs w:val="24"/>
              </w:rPr>
              <w:t>.”</w:t>
            </w:r>
          </w:p>
        </w:tc>
      </w:tr>
      <w:tr w:rsidR="002413A6" w:rsidRPr="00221BBF" w:rsidTr="005979A0">
        <w:trPr>
          <w:trHeight w:val="472"/>
          <w:tblCellSpacing w:w="0" w:type="dxa"/>
        </w:trPr>
        <w:tc>
          <w:tcPr>
            <w:tcW w:w="290" w:type="dxa"/>
            <w:tcBorders>
              <w:top w:val="outset" w:sz="6" w:space="0" w:color="auto"/>
              <w:left w:val="outset" w:sz="6" w:space="0" w:color="auto"/>
              <w:bottom w:val="outset" w:sz="6" w:space="0" w:color="auto"/>
              <w:right w:val="outset" w:sz="6" w:space="0" w:color="auto"/>
            </w:tcBorders>
          </w:tcPr>
          <w:p w:rsidR="002413A6" w:rsidRPr="00221BBF" w:rsidRDefault="002413A6" w:rsidP="004E50A6">
            <w:pPr>
              <w:pStyle w:val="naiskr"/>
            </w:pPr>
            <w:r w:rsidRPr="00221BBF">
              <w:t> 2.</w:t>
            </w:r>
          </w:p>
        </w:tc>
        <w:tc>
          <w:tcPr>
            <w:tcW w:w="3377" w:type="dxa"/>
            <w:tcBorders>
              <w:top w:val="outset" w:sz="6" w:space="0" w:color="auto"/>
              <w:left w:val="outset" w:sz="6" w:space="0" w:color="auto"/>
              <w:bottom w:val="outset" w:sz="6" w:space="0" w:color="auto"/>
              <w:right w:val="outset" w:sz="6" w:space="0" w:color="auto"/>
            </w:tcBorders>
          </w:tcPr>
          <w:p w:rsidR="002413A6" w:rsidRPr="00221BBF" w:rsidRDefault="002413A6" w:rsidP="00B36988">
            <w:pPr>
              <w:rPr>
                <w:color w:val="414142"/>
              </w:rPr>
            </w:pPr>
            <w:r w:rsidRPr="00221BBF">
              <w:rPr>
                <w:color w:val="414142"/>
              </w:rPr>
              <w:t>Pašreizējā situācija un problēmas, kuru risināšanai tiesību akta projekts izstrādāts, tiesiskā regulējuma mērķis un būtība</w:t>
            </w:r>
          </w:p>
        </w:tc>
        <w:tc>
          <w:tcPr>
            <w:tcW w:w="5589" w:type="dxa"/>
            <w:tcBorders>
              <w:top w:val="outset" w:sz="6" w:space="0" w:color="auto"/>
              <w:left w:val="outset" w:sz="6" w:space="0" w:color="auto"/>
              <w:bottom w:val="outset" w:sz="6" w:space="0" w:color="auto"/>
              <w:right w:val="outset" w:sz="6" w:space="0" w:color="auto"/>
            </w:tcBorders>
          </w:tcPr>
          <w:p w:rsidR="005111D5" w:rsidRPr="00221BBF" w:rsidRDefault="00387BF2" w:rsidP="00F112C9">
            <w:pPr>
              <w:pStyle w:val="BodyText"/>
              <w:jc w:val="both"/>
            </w:pPr>
            <w:r w:rsidRPr="00221BBF">
              <w:t>Balstoties uz NATO valstu un valdību samita Čikāgā 2012.gada maijā rezultātiem, ar ANO Drošības Padomes 2013.gada 10.oktobra rezolūciju 2120 (2013) Starptautisko drošības atbalsta spēku starptautiskās operācijas Afganistānā (ISAF) mandāts tika noteikts līdz 2014.gada 31.decembrim</w:t>
            </w:r>
            <w:r w:rsidR="005111D5" w:rsidRPr="00221BBF">
              <w:t xml:space="preserve">. </w:t>
            </w:r>
            <w:r w:rsidR="00923BCB" w:rsidRPr="00221BBF">
              <w:t xml:space="preserve">2014.gada septembrī NATO samita laikā Velsā </w:t>
            </w:r>
            <w:r w:rsidR="00060B2D" w:rsidRPr="00221BBF">
              <w:t xml:space="preserve">NATO valstis un valdības, tai skaitā Latvija, </w:t>
            </w:r>
            <w:r w:rsidRPr="00221BBF">
              <w:t>vienoj</w:t>
            </w:r>
            <w:r w:rsidR="00060B2D" w:rsidRPr="00221BBF">
              <w:t>ās</w:t>
            </w:r>
            <w:r w:rsidRPr="00221BBF">
              <w:t xml:space="preserve"> par ilgtermiņa apņemšanos turpināt atbalstu</w:t>
            </w:r>
            <w:r w:rsidR="00DE7315" w:rsidRPr="00221BBF">
              <w:t xml:space="preserve"> Afganistānai arī pēc 2014.gada</w:t>
            </w:r>
            <w:r w:rsidR="00060B2D" w:rsidRPr="00221BBF">
              <w:t>,</w:t>
            </w:r>
            <w:r w:rsidR="00DE7315" w:rsidRPr="00221BBF">
              <w:t xml:space="preserve"> </w:t>
            </w:r>
            <w:r w:rsidR="00884E92" w:rsidRPr="00221BBF">
              <w:t>NATO lomu Afganistānā main</w:t>
            </w:r>
            <w:r w:rsidR="005111D5" w:rsidRPr="00221BBF">
              <w:t xml:space="preserve">ot </w:t>
            </w:r>
            <w:r w:rsidR="00884E92" w:rsidRPr="00221BBF">
              <w:t xml:space="preserve">no kaujas operāciju īstenošanas uz </w:t>
            </w:r>
            <w:r w:rsidR="00923BCB" w:rsidRPr="00221BBF">
              <w:t xml:space="preserve">padomu sniegšanu </w:t>
            </w:r>
            <w:r w:rsidR="00884E92" w:rsidRPr="00221BBF">
              <w:t>afgāņu spēk</w:t>
            </w:r>
            <w:r w:rsidR="00923BCB" w:rsidRPr="00221BBF">
              <w:t>iem un to</w:t>
            </w:r>
            <w:r w:rsidR="00884E92" w:rsidRPr="00221BBF">
              <w:t xml:space="preserve"> apmācību</w:t>
            </w:r>
            <w:r w:rsidR="005111D5" w:rsidRPr="00221BBF">
              <w:t>.</w:t>
            </w:r>
          </w:p>
          <w:p w:rsidR="00923BCB" w:rsidRPr="00221BBF" w:rsidRDefault="005111D5" w:rsidP="00F112C9">
            <w:pPr>
              <w:pStyle w:val="BodyText"/>
              <w:jc w:val="both"/>
            </w:pPr>
            <w:r w:rsidRPr="00221BBF">
              <w:t>P</w:t>
            </w:r>
            <w:r w:rsidR="00E44CC8" w:rsidRPr="00221BBF">
              <w:t>amatojoties uz 2014.gada 30.septembrī Afganistānas valdības un NATO noslēgt</w:t>
            </w:r>
            <w:r w:rsidRPr="00221BBF">
              <w:t>ajā</w:t>
            </w:r>
            <w:r w:rsidR="00E44CC8" w:rsidRPr="00221BBF">
              <w:t xml:space="preserve"> divpusēj</w:t>
            </w:r>
            <w:r w:rsidRPr="00221BBF">
              <w:t>ā</w:t>
            </w:r>
            <w:r w:rsidR="00E44CC8" w:rsidRPr="00221BBF">
              <w:t xml:space="preserve"> līgumā izteikto Afganistānas valdības uzaicinājumu, </w:t>
            </w:r>
            <w:r w:rsidRPr="00221BBF">
              <w:t xml:space="preserve">2015.gada janvārī </w:t>
            </w:r>
            <w:r w:rsidR="00060B2D" w:rsidRPr="00221BBF">
              <w:t xml:space="preserve">Afganistānā </w:t>
            </w:r>
            <w:r w:rsidRPr="00221BBF">
              <w:t>tika uzsākta</w:t>
            </w:r>
            <w:r w:rsidR="00E44CC8" w:rsidRPr="00221BBF">
              <w:t xml:space="preserve"> </w:t>
            </w:r>
            <w:r w:rsidRPr="00221BBF">
              <w:t>NATO vadīta s</w:t>
            </w:r>
            <w:r w:rsidR="00E44CC8" w:rsidRPr="00221BBF">
              <w:t>tarptautisk</w:t>
            </w:r>
            <w:r w:rsidRPr="00221BBF">
              <w:t>ā</w:t>
            </w:r>
            <w:r w:rsidR="00E44CC8" w:rsidRPr="00221BBF">
              <w:t xml:space="preserve"> oper</w:t>
            </w:r>
            <w:r w:rsidRPr="00221BBF">
              <w:t>ācija</w:t>
            </w:r>
            <w:r w:rsidR="00E44CC8" w:rsidRPr="00221BBF">
              <w:t xml:space="preserve"> </w:t>
            </w:r>
            <w:proofErr w:type="spellStart"/>
            <w:r w:rsidR="00E44CC8" w:rsidRPr="00221BBF">
              <w:rPr>
                <w:i/>
              </w:rPr>
              <w:t>Resolute</w:t>
            </w:r>
            <w:proofErr w:type="spellEnd"/>
            <w:r w:rsidR="00E44CC8" w:rsidRPr="00221BBF">
              <w:rPr>
                <w:i/>
              </w:rPr>
              <w:t xml:space="preserve"> </w:t>
            </w:r>
            <w:proofErr w:type="spellStart"/>
            <w:r w:rsidR="00E44CC8" w:rsidRPr="00221BBF">
              <w:rPr>
                <w:i/>
              </w:rPr>
              <w:t>Support</w:t>
            </w:r>
            <w:proofErr w:type="spellEnd"/>
            <w:r w:rsidR="00E44CC8" w:rsidRPr="00221BBF">
              <w:rPr>
                <w:i/>
              </w:rPr>
              <w:t xml:space="preserve"> </w:t>
            </w:r>
            <w:proofErr w:type="spellStart"/>
            <w:r w:rsidR="00E44CC8" w:rsidRPr="00221BBF">
              <w:rPr>
                <w:i/>
              </w:rPr>
              <w:t>Mission</w:t>
            </w:r>
            <w:proofErr w:type="spellEnd"/>
            <w:r w:rsidR="00E96162" w:rsidRPr="00221BBF">
              <w:t>.</w:t>
            </w:r>
          </w:p>
          <w:p w:rsidR="00DE7315" w:rsidRPr="00221BBF" w:rsidRDefault="002413A6" w:rsidP="00F112C9">
            <w:pPr>
              <w:pStyle w:val="BodyText"/>
              <w:jc w:val="both"/>
            </w:pPr>
            <w:r w:rsidRPr="00221BBF">
              <w:t xml:space="preserve">Pamatojoties uz likuma "Latvijas Nacionālo bruņoto spēku piedalīšanās starptautiskajās operācijās" 1.panta </w:t>
            </w:r>
            <w:r w:rsidR="00BB4E74" w:rsidRPr="00221BBF">
              <w:t>pirmās daļas 1.punktu, 1.panta otro daļu</w:t>
            </w:r>
            <w:r w:rsidRPr="00221BBF">
              <w:t xml:space="preserve"> un 5.panta pirmo daļu, Saeima ar 20</w:t>
            </w:r>
            <w:r w:rsidR="00BB4E74" w:rsidRPr="00221BBF">
              <w:t>14</w:t>
            </w:r>
            <w:r w:rsidRPr="00221BBF">
              <w:t xml:space="preserve">.gada </w:t>
            </w:r>
            <w:r w:rsidR="00BB4E74" w:rsidRPr="00221BBF">
              <w:t>4.decembra</w:t>
            </w:r>
            <w:r w:rsidRPr="00221BBF">
              <w:t xml:space="preserve"> lēmumu </w:t>
            </w:r>
            <w:r w:rsidR="00BB4E74" w:rsidRPr="00221BBF">
              <w:t>nosūtīja</w:t>
            </w:r>
            <w:r w:rsidRPr="00221BBF">
              <w:t xml:space="preserve"> Latvijas Nacionālo bruņoto spēku (NBS) karavīru</w:t>
            </w:r>
            <w:r w:rsidR="00BB4E74" w:rsidRPr="00221BBF">
              <w:t>s</w:t>
            </w:r>
            <w:r w:rsidRPr="00221BBF">
              <w:t xml:space="preserve"> dalībai Ziemeļatlantijas</w:t>
            </w:r>
            <w:r w:rsidR="00BB4E74" w:rsidRPr="00221BBF">
              <w:t xml:space="preserve"> līguma</w:t>
            </w:r>
            <w:r w:rsidRPr="00221BBF">
              <w:t xml:space="preserve"> organizācijas vadītajā </w:t>
            </w:r>
            <w:r w:rsidR="00BB4E74" w:rsidRPr="00221BBF">
              <w:t xml:space="preserve">starptautiskajā </w:t>
            </w:r>
            <w:r w:rsidRPr="00221BBF">
              <w:t>operā</w:t>
            </w:r>
            <w:r w:rsidR="00BB4E74" w:rsidRPr="00221BBF">
              <w:t xml:space="preserve">cijā </w:t>
            </w:r>
            <w:proofErr w:type="spellStart"/>
            <w:r w:rsidR="00BB4E74" w:rsidRPr="00221BBF">
              <w:rPr>
                <w:i/>
              </w:rPr>
              <w:t>Resolute</w:t>
            </w:r>
            <w:proofErr w:type="spellEnd"/>
            <w:r w:rsidR="00BB4E74" w:rsidRPr="00221BBF">
              <w:rPr>
                <w:i/>
              </w:rPr>
              <w:t xml:space="preserve"> </w:t>
            </w:r>
            <w:proofErr w:type="spellStart"/>
            <w:r w:rsidR="00BB4E74" w:rsidRPr="00221BBF">
              <w:rPr>
                <w:i/>
              </w:rPr>
              <w:t>Support</w:t>
            </w:r>
            <w:proofErr w:type="spellEnd"/>
            <w:r w:rsidR="00BB4E74" w:rsidRPr="00221BBF">
              <w:rPr>
                <w:i/>
              </w:rPr>
              <w:t xml:space="preserve"> </w:t>
            </w:r>
            <w:proofErr w:type="spellStart"/>
            <w:r w:rsidR="00BB4E74" w:rsidRPr="00221BBF">
              <w:rPr>
                <w:i/>
              </w:rPr>
              <w:t>Mission</w:t>
            </w:r>
            <w:proofErr w:type="spellEnd"/>
            <w:r w:rsidR="00BB4E74" w:rsidRPr="00221BBF">
              <w:t xml:space="preserve"> </w:t>
            </w:r>
            <w:r w:rsidRPr="00221BBF">
              <w:t xml:space="preserve">Afganistānā </w:t>
            </w:r>
            <w:r w:rsidR="00BB4E74" w:rsidRPr="00221BBF">
              <w:t>NATO spēku sastāvā līdz 2015</w:t>
            </w:r>
            <w:r w:rsidRPr="00221BBF">
              <w:t xml:space="preserve">.gada </w:t>
            </w:r>
            <w:r w:rsidR="00BB4E74" w:rsidRPr="00221BBF">
              <w:t>31.decembrim</w:t>
            </w:r>
            <w:r w:rsidRPr="00221BBF">
              <w:t>.</w:t>
            </w:r>
            <w:r w:rsidR="009A5491" w:rsidRPr="00221BBF">
              <w:t xml:space="preserve"> 2015.gadā uz analoģiskiem nosacījumiem ar 3.decembra Saeimas lēmumu dalība tika pagarināta līdz 2016.gada 31.decembrim.</w:t>
            </w:r>
          </w:p>
          <w:p w:rsidR="002413A6" w:rsidRDefault="00884E92" w:rsidP="00F112C9">
            <w:pPr>
              <w:pStyle w:val="BodyText"/>
              <w:jc w:val="both"/>
            </w:pPr>
            <w:r w:rsidRPr="00221BBF">
              <w:t>ANO</w:t>
            </w:r>
            <w:r w:rsidR="00DE7315" w:rsidRPr="00221BBF">
              <w:t xml:space="preserve"> Drošības padome</w:t>
            </w:r>
            <w:r w:rsidRPr="00221BBF">
              <w:t xml:space="preserve"> ar</w:t>
            </w:r>
            <w:r w:rsidR="00DE7315" w:rsidRPr="00221BBF">
              <w:t xml:space="preserve"> </w:t>
            </w:r>
            <w:r w:rsidRPr="00221BBF">
              <w:t>2014.gada 12.decembra rezolūciju 2189 (2014) atzin</w:t>
            </w:r>
            <w:r w:rsidR="00E44CC8" w:rsidRPr="00221BBF">
              <w:t>īgi novērtēja</w:t>
            </w:r>
            <w:r w:rsidR="00DE7315" w:rsidRPr="00221BBF">
              <w:t xml:space="preserve"> sniedzamā atbalsta nozīmību</w:t>
            </w:r>
            <w:r w:rsidR="00060B2D" w:rsidRPr="00221BBF">
              <w:t xml:space="preserve"> un </w:t>
            </w:r>
            <w:proofErr w:type="spellStart"/>
            <w:r w:rsidR="00DE7315" w:rsidRPr="00221BBF">
              <w:rPr>
                <w:i/>
              </w:rPr>
              <w:t>Resolute</w:t>
            </w:r>
            <w:proofErr w:type="spellEnd"/>
            <w:r w:rsidR="00DE7315" w:rsidRPr="00221BBF">
              <w:rPr>
                <w:i/>
              </w:rPr>
              <w:t xml:space="preserve"> </w:t>
            </w:r>
            <w:proofErr w:type="spellStart"/>
            <w:r w:rsidR="00DE7315" w:rsidRPr="00221BBF">
              <w:rPr>
                <w:i/>
              </w:rPr>
              <w:t>Support</w:t>
            </w:r>
            <w:proofErr w:type="spellEnd"/>
            <w:r w:rsidR="00DE7315" w:rsidRPr="00221BBF">
              <w:rPr>
                <w:i/>
              </w:rPr>
              <w:t xml:space="preserve"> </w:t>
            </w:r>
            <w:proofErr w:type="spellStart"/>
            <w:r w:rsidR="00DE7315" w:rsidRPr="00221BBF">
              <w:rPr>
                <w:i/>
              </w:rPr>
              <w:t>Mission</w:t>
            </w:r>
            <w:proofErr w:type="spellEnd"/>
            <w:r w:rsidR="00DE7315" w:rsidRPr="00221BBF">
              <w:t xml:space="preserve"> nodibināšanu</w:t>
            </w:r>
            <w:r w:rsidR="00060B2D" w:rsidRPr="00221BBF">
              <w:t>, kā arī</w:t>
            </w:r>
            <w:r w:rsidR="00E44CC8" w:rsidRPr="00221BBF">
              <w:t xml:space="preserve"> atzīmēja, ka</w:t>
            </w:r>
            <w:r w:rsidRPr="00221BBF">
              <w:t xml:space="preserve"> Afganistānas valdības un NATO noslēgtais līgums paredz stabilu juridisko pamatu šai misijai</w:t>
            </w:r>
            <w:r w:rsidR="00501B69" w:rsidRPr="00221BBF">
              <w:t xml:space="preserve">. ANO Drošības Padome </w:t>
            </w:r>
            <w:r w:rsidR="00294F3D">
              <w:t xml:space="preserve">arī </w:t>
            </w:r>
            <w:r w:rsidR="00221BBF" w:rsidRPr="00221BBF">
              <w:t xml:space="preserve">apliecinājusi </w:t>
            </w:r>
            <w:r w:rsidR="00501B69" w:rsidRPr="00221BBF">
              <w:t xml:space="preserve">savu gatavību pārskatīt </w:t>
            </w:r>
            <w:r w:rsidR="004D54BE" w:rsidRPr="00221BBF">
              <w:t xml:space="preserve">operācijas mandātu </w:t>
            </w:r>
            <w:r w:rsidR="00501B69" w:rsidRPr="00221BBF">
              <w:lastRenderedPageBreak/>
              <w:t>atkarībā no Padomes apsvērumiem par situāciju Afganistānā.</w:t>
            </w:r>
          </w:p>
          <w:p w:rsidR="0029380E" w:rsidRPr="00F112C9" w:rsidRDefault="000714A8" w:rsidP="00F112C9">
            <w:pPr>
              <w:pStyle w:val="BodyText"/>
              <w:jc w:val="both"/>
              <w:rPr>
                <w:u w:val="single"/>
              </w:rPr>
            </w:pPr>
            <w:r w:rsidRPr="00F112C9">
              <w:rPr>
                <w:iCs/>
                <w:u w:val="single"/>
              </w:rPr>
              <w:t xml:space="preserve">Lai lemtu par termiņu </w:t>
            </w:r>
            <w:r w:rsidR="00D22A71" w:rsidRPr="00F112C9">
              <w:rPr>
                <w:iCs/>
                <w:u w:val="single"/>
              </w:rPr>
              <w:t>NBS karavīru tālākai dalībai</w:t>
            </w:r>
            <w:r w:rsidR="00D22A71" w:rsidRPr="00F112C9">
              <w:rPr>
                <w:i/>
                <w:iCs/>
                <w:u w:val="single"/>
              </w:rPr>
              <w:t xml:space="preserve"> </w:t>
            </w:r>
            <w:proofErr w:type="spellStart"/>
            <w:r w:rsidRPr="00F112C9">
              <w:rPr>
                <w:i/>
                <w:iCs/>
                <w:u w:val="single"/>
              </w:rPr>
              <w:t>Resolute</w:t>
            </w:r>
            <w:proofErr w:type="spellEnd"/>
            <w:r w:rsidRPr="00F112C9">
              <w:rPr>
                <w:i/>
                <w:iCs/>
                <w:u w:val="single"/>
              </w:rPr>
              <w:t xml:space="preserve"> </w:t>
            </w:r>
            <w:proofErr w:type="spellStart"/>
            <w:r w:rsidRPr="00F112C9">
              <w:rPr>
                <w:i/>
                <w:iCs/>
                <w:u w:val="single"/>
              </w:rPr>
              <w:t>Support</w:t>
            </w:r>
            <w:proofErr w:type="spellEnd"/>
            <w:r w:rsidRPr="00F112C9">
              <w:rPr>
                <w:i/>
                <w:iCs/>
                <w:u w:val="single"/>
              </w:rPr>
              <w:t xml:space="preserve"> </w:t>
            </w:r>
            <w:proofErr w:type="spellStart"/>
            <w:r w:rsidRPr="00F112C9">
              <w:rPr>
                <w:i/>
                <w:iCs/>
                <w:u w:val="single"/>
              </w:rPr>
              <w:t>Mission</w:t>
            </w:r>
            <w:proofErr w:type="spellEnd"/>
            <w:r w:rsidR="00D22A71" w:rsidRPr="00F112C9">
              <w:rPr>
                <w:iCs/>
                <w:u w:val="single"/>
              </w:rPr>
              <w:t>, jāņem vērā, ka</w:t>
            </w:r>
            <w:r w:rsidRPr="00F112C9">
              <w:rPr>
                <w:u w:val="single"/>
              </w:rPr>
              <w:t xml:space="preserve"> operācijas mērķi ir saistīti ar vietējo drošības spēku apmācību un padoma sniegšanu spēku attīstībai. Šo uzdevumu īstenošanas priekšnosacījums ir mērķtiecīga, iespējami detalizēta turpmākās stratēģijas un rīcības </w:t>
            </w:r>
            <w:r w:rsidRPr="00F112C9">
              <w:rPr>
                <w:b/>
                <w:u w:val="single"/>
              </w:rPr>
              <w:t>ilgtermiņa</w:t>
            </w:r>
            <w:r w:rsidRPr="00F112C9">
              <w:rPr>
                <w:u w:val="single"/>
              </w:rPr>
              <w:t xml:space="preserve"> plānošana gan NATO, gan Nacionālo bruņoto spēku kontekstā.</w:t>
            </w:r>
          </w:p>
          <w:p w:rsidR="00BA3E5D" w:rsidRPr="00F112C9" w:rsidRDefault="00BA3E5D" w:rsidP="00F112C9">
            <w:pPr>
              <w:pStyle w:val="BodyText"/>
              <w:jc w:val="both"/>
              <w:rPr>
                <w:u w:val="single"/>
              </w:rPr>
            </w:pPr>
            <w:r w:rsidRPr="00F112C9">
              <w:rPr>
                <w:u w:val="single"/>
              </w:rPr>
              <w:t xml:space="preserve">Apņemšanos turpināt bruņoto spēku ieguldījumu arī turpmākai drošības un stabilitātes sekmēšanai Afganistānā nosaka </w:t>
            </w:r>
            <w:r w:rsidR="0029380E" w:rsidRPr="00F112C9">
              <w:rPr>
                <w:u w:val="single"/>
              </w:rPr>
              <w:t>š</w:t>
            </w:r>
            <w:r w:rsidR="00DF4954" w:rsidRPr="00F112C9">
              <w:rPr>
                <w:u w:val="single"/>
              </w:rPr>
              <w:t>.g. 9. </w:t>
            </w:r>
            <w:r w:rsidR="00294F3D" w:rsidRPr="00F112C9">
              <w:rPr>
                <w:u w:val="single"/>
              </w:rPr>
              <w:t xml:space="preserve">jūlijā NATO </w:t>
            </w:r>
            <w:r w:rsidR="000714A8" w:rsidRPr="00F112C9">
              <w:rPr>
                <w:u w:val="single"/>
              </w:rPr>
              <w:t xml:space="preserve">valstu </w:t>
            </w:r>
            <w:r w:rsidR="00294F3D" w:rsidRPr="00F112C9">
              <w:rPr>
                <w:u w:val="single"/>
              </w:rPr>
              <w:t xml:space="preserve">samitā Varšavā </w:t>
            </w:r>
            <w:r w:rsidRPr="00F112C9">
              <w:rPr>
                <w:u w:val="single"/>
              </w:rPr>
              <w:t xml:space="preserve">apstiprinātā </w:t>
            </w:r>
            <w:r w:rsidR="00294F3D" w:rsidRPr="00F112C9">
              <w:rPr>
                <w:u w:val="single"/>
              </w:rPr>
              <w:t xml:space="preserve">deklarācija, kas paredz, ka </w:t>
            </w:r>
            <w:r w:rsidR="00127949">
              <w:rPr>
                <w:u w:val="single"/>
              </w:rPr>
              <w:t>A</w:t>
            </w:r>
            <w:r w:rsidR="00294F3D" w:rsidRPr="00F112C9">
              <w:rPr>
                <w:u w:val="single"/>
              </w:rPr>
              <w:t xml:space="preserve">lianse turpina apmācības operāciju </w:t>
            </w:r>
            <w:proofErr w:type="spellStart"/>
            <w:r w:rsidR="00DF4954" w:rsidRPr="00F112C9">
              <w:rPr>
                <w:i/>
                <w:u w:val="single"/>
              </w:rPr>
              <w:t>Resolute</w:t>
            </w:r>
            <w:proofErr w:type="spellEnd"/>
            <w:r w:rsidR="00DF4954" w:rsidRPr="00F112C9">
              <w:rPr>
                <w:i/>
                <w:u w:val="single"/>
              </w:rPr>
              <w:t xml:space="preserve"> </w:t>
            </w:r>
            <w:proofErr w:type="spellStart"/>
            <w:r w:rsidR="00DF4954" w:rsidRPr="00F112C9">
              <w:rPr>
                <w:i/>
                <w:u w:val="single"/>
              </w:rPr>
              <w:t>Support</w:t>
            </w:r>
            <w:proofErr w:type="spellEnd"/>
            <w:r w:rsidR="00DF4954" w:rsidRPr="00F112C9">
              <w:rPr>
                <w:i/>
                <w:u w:val="single"/>
              </w:rPr>
              <w:t xml:space="preserve"> </w:t>
            </w:r>
            <w:proofErr w:type="spellStart"/>
            <w:r w:rsidR="00DF4954" w:rsidRPr="00F112C9">
              <w:rPr>
                <w:i/>
                <w:u w:val="single"/>
              </w:rPr>
              <w:t>Mission</w:t>
            </w:r>
            <w:proofErr w:type="spellEnd"/>
            <w:r w:rsidR="00DF4954" w:rsidRPr="00F112C9">
              <w:rPr>
                <w:u w:val="single"/>
              </w:rPr>
              <w:t xml:space="preserve"> </w:t>
            </w:r>
            <w:r w:rsidR="00294F3D" w:rsidRPr="00F112C9">
              <w:rPr>
                <w:u w:val="single"/>
              </w:rPr>
              <w:t xml:space="preserve">Afganistānā pēc </w:t>
            </w:r>
            <w:r w:rsidR="00DF4954" w:rsidRPr="00F112C9">
              <w:rPr>
                <w:u w:val="single"/>
              </w:rPr>
              <w:t>2016. </w:t>
            </w:r>
            <w:r w:rsidRPr="00F112C9">
              <w:rPr>
                <w:u w:val="single"/>
              </w:rPr>
              <w:t>g</w:t>
            </w:r>
            <w:r w:rsidR="00294F3D" w:rsidRPr="00F112C9">
              <w:rPr>
                <w:u w:val="single"/>
              </w:rPr>
              <w:t>ada</w:t>
            </w:r>
            <w:r w:rsidRPr="00F112C9">
              <w:rPr>
                <w:u w:val="single"/>
              </w:rPr>
              <w:t>.</w:t>
            </w:r>
            <w:r w:rsidR="00294F3D" w:rsidRPr="00F112C9">
              <w:rPr>
                <w:u w:val="single"/>
              </w:rPr>
              <w:t xml:space="preserve"> </w:t>
            </w:r>
            <w:r w:rsidR="00F112C9">
              <w:rPr>
                <w:u w:val="single"/>
              </w:rPr>
              <w:t>Arī Latvijas NBS tai skaitā plāno turpināt dalību šajā operācijā.</w:t>
            </w:r>
          </w:p>
          <w:p w:rsidR="00BA3E5D" w:rsidRPr="00F112C9" w:rsidRDefault="00F112C9" w:rsidP="00F112C9">
            <w:pPr>
              <w:pStyle w:val="BodyText"/>
              <w:jc w:val="both"/>
              <w:rPr>
                <w:u w:val="single"/>
              </w:rPr>
            </w:pPr>
            <w:r>
              <w:rPr>
                <w:u w:val="single"/>
              </w:rPr>
              <w:t>Uz</w:t>
            </w:r>
            <w:r w:rsidR="00BA3E5D" w:rsidRPr="00F112C9">
              <w:rPr>
                <w:u w:val="single"/>
              </w:rPr>
              <w:t xml:space="preserve"> </w:t>
            </w:r>
            <w:r>
              <w:rPr>
                <w:u w:val="single"/>
              </w:rPr>
              <w:t xml:space="preserve">Latvijas </w:t>
            </w:r>
            <w:r w:rsidR="00BA3E5D" w:rsidRPr="00F112C9">
              <w:rPr>
                <w:u w:val="single"/>
              </w:rPr>
              <w:t>gatavību sniegt ilgtermiņa finansiālu ieguldījumu Afganistānas atbalstam (veicot regulārās iemaksas attiecīgajā Trasta fondā)</w:t>
            </w:r>
            <w:r>
              <w:rPr>
                <w:u w:val="single"/>
              </w:rPr>
              <w:t>, savukārt, norāda</w:t>
            </w:r>
            <w:r w:rsidR="00BA3E5D" w:rsidRPr="00F112C9">
              <w:rPr>
                <w:u w:val="single"/>
              </w:rPr>
              <w:t xml:space="preserve"> š.g. 13. jūlija MK rīkojums Nr.386 (dienesta vajadzībām) “Par Afganistānas Nacionālo drošības spēku atbalstīšanu pēc 2017.gada”</w:t>
            </w:r>
            <w:r>
              <w:rPr>
                <w:u w:val="single"/>
              </w:rPr>
              <w:t>, kurā a</w:t>
            </w:r>
            <w:r w:rsidR="00BA3E5D" w:rsidRPr="00F112C9">
              <w:rPr>
                <w:u w:val="single"/>
              </w:rPr>
              <w:t>tbalsta sniegšan</w:t>
            </w:r>
            <w:r>
              <w:rPr>
                <w:u w:val="single"/>
              </w:rPr>
              <w:t xml:space="preserve">a </w:t>
            </w:r>
            <w:r w:rsidR="00BA3E5D" w:rsidRPr="00F112C9">
              <w:rPr>
                <w:u w:val="single"/>
              </w:rPr>
              <w:t>Afganistānai plānota līdz 2020.gadam.</w:t>
            </w:r>
          </w:p>
          <w:p w:rsidR="00732FFA" w:rsidRPr="00F112C9" w:rsidRDefault="00EF12C0" w:rsidP="00F112C9">
            <w:pPr>
              <w:autoSpaceDE w:val="0"/>
              <w:autoSpaceDN w:val="0"/>
              <w:adjustRightInd w:val="0"/>
              <w:spacing w:after="120"/>
              <w:jc w:val="both"/>
              <w:rPr>
                <w:u w:val="single"/>
              </w:rPr>
            </w:pPr>
            <w:r w:rsidRPr="00F112C9">
              <w:rPr>
                <w:u w:val="single"/>
              </w:rPr>
              <w:t>Šobrīd, l</w:t>
            </w:r>
            <w:r w:rsidR="00BA3E5D" w:rsidRPr="00F112C9">
              <w:rPr>
                <w:u w:val="single"/>
              </w:rPr>
              <w:t>ai nodrošinātu</w:t>
            </w:r>
            <w:r w:rsidRPr="00F112C9">
              <w:rPr>
                <w:u w:val="single"/>
              </w:rPr>
              <w:t xml:space="preserve"> tiesisko pamatu</w:t>
            </w:r>
            <w:r w:rsidR="008B7BBB" w:rsidRPr="00F112C9">
              <w:rPr>
                <w:u w:val="single"/>
              </w:rPr>
              <w:t xml:space="preserve"> </w:t>
            </w:r>
            <w:r w:rsidR="00D22A71" w:rsidRPr="00F112C9">
              <w:rPr>
                <w:u w:val="single"/>
              </w:rPr>
              <w:t xml:space="preserve">NBS dalības </w:t>
            </w:r>
            <w:r w:rsidR="00897FC1" w:rsidRPr="00F112C9">
              <w:rPr>
                <w:u w:val="single"/>
              </w:rPr>
              <w:t>turpināšanai</w:t>
            </w:r>
            <w:r w:rsidR="00D22A71" w:rsidRPr="00F112C9">
              <w:rPr>
                <w:u w:val="single"/>
              </w:rPr>
              <w:t xml:space="preserve"> </w:t>
            </w:r>
            <w:proofErr w:type="spellStart"/>
            <w:r w:rsidR="00D22A71" w:rsidRPr="00F112C9">
              <w:rPr>
                <w:i/>
                <w:u w:val="single"/>
              </w:rPr>
              <w:t>Resolute</w:t>
            </w:r>
            <w:proofErr w:type="spellEnd"/>
            <w:r w:rsidR="00D22A71" w:rsidRPr="00F112C9">
              <w:rPr>
                <w:i/>
                <w:u w:val="single"/>
              </w:rPr>
              <w:t xml:space="preserve"> </w:t>
            </w:r>
            <w:proofErr w:type="spellStart"/>
            <w:r w:rsidR="00D22A71" w:rsidRPr="00F112C9">
              <w:rPr>
                <w:i/>
                <w:u w:val="single"/>
              </w:rPr>
              <w:t>Support</w:t>
            </w:r>
            <w:proofErr w:type="spellEnd"/>
            <w:r w:rsidR="00D22A71" w:rsidRPr="00F112C9">
              <w:rPr>
                <w:i/>
                <w:u w:val="single"/>
              </w:rPr>
              <w:t xml:space="preserve"> </w:t>
            </w:r>
            <w:proofErr w:type="spellStart"/>
            <w:r w:rsidR="00D22A71" w:rsidRPr="00F112C9">
              <w:rPr>
                <w:i/>
                <w:u w:val="single"/>
              </w:rPr>
              <w:t>Mission</w:t>
            </w:r>
            <w:proofErr w:type="spellEnd"/>
            <w:r w:rsidR="00D22A71" w:rsidRPr="00F112C9">
              <w:rPr>
                <w:u w:val="single"/>
              </w:rPr>
              <w:t xml:space="preserve"> operācijā</w:t>
            </w:r>
            <w:r w:rsidRPr="00F112C9">
              <w:rPr>
                <w:u w:val="single"/>
              </w:rPr>
              <w:t>,</w:t>
            </w:r>
            <w:r w:rsidR="00D22A71" w:rsidRPr="00F112C9">
              <w:rPr>
                <w:u w:val="single"/>
              </w:rPr>
              <w:t xml:space="preserve"> </w:t>
            </w:r>
            <w:r w:rsidR="008B7BBB" w:rsidRPr="00F112C9">
              <w:rPr>
                <w:u w:val="single"/>
              </w:rPr>
              <w:t xml:space="preserve">nepieciešams Saeimas lēmums. </w:t>
            </w:r>
            <w:r w:rsidRPr="00F112C9">
              <w:rPr>
                <w:u w:val="single"/>
              </w:rPr>
              <w:t xml:space="preserve">Lai nodrošinātu </w:t>
            </w:r>
            <w:r w:rsidRPr="00F112C9">
              <w:rPr>
                <w:u w:val="single"/>
                <w:lang w:eastAsia="en-US" w:bidi="lo-LA"/>
              </w:rPr>
              <w:t xml:space="preserve">konsekventu valsts dalību </w:t>
            </w:r>
            <w:proofErr w:type="spellStart"/>
            <w:r w:rsidRPr="00F112C9">
              <w:rPr>
                <w:i/>
                <w:u w:val="single"/>
                <w:lang w:eastAsia="en-US" w:bidi="lo-LA"/>
              </w:rPr>
              <w:t>Resolute</w:t>
            </w:r>
            <w:proofErr w:type="spellEnd"/>
            <w:r w:rsidRPr="00F112C9">
              <w:rPr>
                <w:i/>
                <w:u w:val="single"/>
                <w:lang w:eastAsia="en-US" w:bidi="lo-LA"/>
              </w:rPr>
              <w:t xml:space="preserve"> </w:t>
            </w:r>
            <w:proofErr w:type="spellStart"/>
            <w:r w:rsidRPr="00F112C9">
              <w:rPr>
                <w:i/>
                <w:u w:val="single"/>
                <w:lang w:eastAsia="en-US" w:bidi="lo-LA"/>
              </w:rPr>
              <w:t>Support</w:t>
            </w:r>
            <w:proofErr w:type="spellEnd"/>
            <w:r w:rsidRPr="00F112C9">
              <w:rPr>
                <w:i/>
                <w:u w:val="single"/>
                <w:lang w:eastAsia="en-US" w:bidi="lo-LA"/>
              </w:rPr>
              <w:t xml:space="preserve"> </w:t>
            </w:r>
            <w:proofErr w:type="spellStart"/>
            <w:r w:rsidRPr="00F112C9">
              <w:rPr>
                <w:i/>
                <w:u w:val="single"/>
                <w:lang w:eastAsia="en-US" w:bidi="lo-LA"/>
              </w:rPr>
              <w:t>Mission</w:t>
            </w:r>
            <w:proofErr w:type="spellEnd"/>
            <w:r w:rsidRPr="00F112C9">
              <w:rPr>
                <w:u w:val="single"/>
                <w:lang w:eastAsia="en-US" w:bidi="lo-LA"/>
              </w:rPr>
              <w:t xml:space="preserve"> operācijā atbilstoši operācijas sasniegtajam progresam, vienlaicīgi ievērojot NATO </w:t>
            </w:r>
            <w:proofErr w:type="spellStart"/>
            <w:r w:rsidRPr="00F112C9">
              <w:rPr>
                <w:u w:val="single"/>
                <w:lang w:eastAsia="en-US" w:bidi="lo-LA"/>
              </w:rPr>
              <w:t>multinacionālo</w:t>
            </w:r>
            <w:proofErr w:type="spellEnd"/>
            <w:r w:rsidRPr="00F112C9">
              <w:rPr>
                <w:u w:val="single"/>
                <w:lang w:eastAsia="en-US" w:bidi="lo-LA"/>
              </w:rPr>
              <w:t xml:space="preserve"> operāciju plānošanas principus</w:t>
            </w:r>
            <w:r w:rsidR="00F112C9">
              <w:rPr>
                <w:u w:val="single"/>
                <w:lang w:eastAsia="en-US" w:bidi="lo-LA"/>
              </w:rPr>
              <w:t xml:space="preserve">, </w:t>
            </w:r>
            <w:r w:rsidRPr="00F112C9">
              <w:rPr>
                <w:u w:val="single"/>
              </w:rPr>
              <w:t>t</w:t>
            </w:r>
            <w:r w:rsidR="00897FC1" w:rsidRPr="00F112C9">
              <w:rPr>
                <w:u w:val="single"/>
              </w:rPr>
              <w:t>ermiņa pagarinājum</w:t>
            </w:r>
            <w:r w:rsidR="008B7BBB" w:rsidRPr="00F112C9">
              <w:rPr>
                <w:u w:val="single"/>
              </w:rPr>
              <w:t xml:space="preserve">s </w:t>
            </w:r>
            <w:r w:rsidR="00F112C9">
              <w:rPr>
                <w:u w:val="single"/>
              </w:rPr>
              <w:t xml:space="preserve">būtu </w:t>
            </w:r>
            <w:r w:rsidR="008B7BBB" w:rsidRPr="00F112C9">
              <w:rPr>
                <w:u w:val="single"/>
              </w:rPr>
              <w:t>nosakāms</w:t>
            </w:r>
            <w:r w:rsidR="00897FC1" w:rsidRPr="00F112C9">
              <w:rPr>
                <w:u w:val="single"/>
              </w:rPr>
              <w:t xml:space="preserve"> </w:t>
            </w:r>
            <w:r w:rsidR="00D22A71" w:rsidRPr="00F112C9">
              <w:rPr>
                <w:u w:val="single"/>
              </w:rPr>
              <w:t>līdz 2020.gada 31.decembrim.</w:t>
            </w:r>
          </w:p>
          <w:p w:rsidR="00732FFA" w:rsidRPr="00F112C9" w:rsidRDefault="00732FFA" w:rsidP="00F112C9">
            <w:pPr>
              <w:autoSpaceDE w:val="0"/>
              <w:autoSpaceDN w:val="0"/>
              <w:adjustRightInd w:val="0"/>
              <w:jc w:val="both"/>
              <w:rPr>
                <w:u w:val="single"/>
              </w:rPr>
            </w:pPr>
            <w:r w:rsidRPr="00F112C9">
              <w:rPr>
                <w:u w:val="single"/>
              </w:rPr>
              <w:t>Šādi Latvija turpinās</w:t>
            </w:r>
            <w:r w:rsidR="002413A6" w:rsidRPr="00F112C9">
              <w:rPr>
                <w:u w:val="single"/>
              </w:rPr>
              <w:t xml:space="preserve"> ieguldījuma sniegšan</w:t>
            </w:r>
            <w:r w:rsidRPr="00F112C9">
              <w:rPr>
                <w:u w:val="single"/>
              </w:rPr>
              <w:t>u</w:t>
            </w:r>
            <w:r w:rsidR="002413A6" w:rsidRPr="00F112C9">
              <w:rPr>
                <w:u w:val="single"/>
              </w:rPr>
              <w:t xml:space="preserve"> Alianses ie</w:t>
            </w:r>
            <w:r w:rsidRPr="00F112C9">
              <w:rPr>
                <w:u w:val="single"/>
              </w:rPr>
              <w:t>tvaros, apliecinot savu uzticama</w:t>
            </w:r>
            <w:r w:rsidR="002413A6" w:rsidRPr="00F112C9">
              <w:rPr>
                <w:u w:val="single"/>
              </w:rPr>
              <w:t>s starptautiskās koalīcijas dalībvalsts reputāciju.</w:t>
            </w:r>
          </w:p>
          <w:p w:rsidR="00B3436E" w:rsidRDefault="00E44CC8" w:rsidP="00F112C9">
            <w:pPr>
              <w:autoSpaceDE w:val="0"/>
              <w:autoSpaceDN w:val="0"/>
              <w:adjustRightInd w:val="0"/>
              <w:spacing w:after="120"/>
              <w:jc w:val="both"/>
              <w:rPr>
                <w:u w:val="single"/>
              </w:rPr>
            </w:pPr>
            <w:r w:rsidRPr="00F112C9">
              <w:rPr>
                <w:u w:val="single"/>
              </w:rPr>
              <w:t>NBS iesaiste</w:t>
            </w:r>
            <w:r w:rsidR="005111D5" w:rsidRPr="00F112C9">
              <w:rPr>
                <w:u w:val="single"/>
              </w:rPr>
              <w:t xml:space="preserve"> operācijā</w:t>
            </w:r>
            <w:r w:rsidR="002413A6" w:rsidRPr="00F112C9">
              <w:rPr>
                <w:u w:val="single"/>
              </w:rPr>
              <w:t xml:space="preserve"> paredzēta līdzšinējā apjomā</w:t>
            </w:r>
            <w:r w:rsidR="002C0787" w:rsidRPr="00F112C9">
              <w:rPr>
                <w:u w:val="single"/>
              </w:rPr>
              <w:t xml:space="preserve"> (līdz 30 karavīriem liels militārais kontingents)</w:t>
            </w:r>
            <w:r w:rsidR="002413A6" w:rsidRPr="00F112C9">
              <w:rPr>
                <w:u w:val="single"/>
              </w:rPr>
              <w:t>.</w:t>
            </w:r>
          </w:p>
          <w:p w:rsidR="00F112C9" w:rsidRPr="00221BBF" w:rsidRDefault="00F112C9" w:rsidP="00301710">
            <w:pPr>
              <w:autoSpaceDE w:val="0"/>
              <w:autoSpaceDN w:val="0"/>
              <w:adjustRightInd w:val="0"/>
              <w:spacing w:after="120"/>
              <w:jc w:val="both"/>
            </w:pPr>
          </w:p>
        </w:tc>
      </w:tr>
      <w:tr w:rsidR="002413A6" w:rsidRPr="00221BBF" w:rsidTr="005979A0">
        <w:trPr>
          <w:trHeight w:val="567"/>
          <w:tblCellSpacing w:w="0" w:type="dxa"/>
        </w:trPr>
        <w:tc>
          <w:tcPr>
            <w:tcW w:w="290" w:type="dxa"/>
            <w:tcBorders>
              <w:top w:val="outset" w:sz="6" w:space="0" w:color="auto"/>
              <w:left w:val="outset" w:sz="6" w:space="0" w:color="auto"/>
              <w:bottom w:val="outset" w:sz="6" w:space="0" w:color="auto"/>
              <w:right w:val="outset" w:sz="6" w:space="0" w:color="auto"/>
            </w:tcBorders>
          </w:tcPr>
          <w:p w:rsidR="002413A6" w:rsidRPr="00221BBF" w:rsidRDefault="002413A6" w:rsidP="004E50A6">
            <w:pPr>
              <w:pStyle w:val="naiskr"/>
            </w:pPr>
            <w:r w:rsidRPr="00221BBF">
              <w:lastRenderedPageBreak/>
              <w:t> 3.</w:t>
            </w:r>
          </w:p>
        </w:tc>
        <w:tc>
          <w:tcPr>
            <w:tcW w:w="3377" w:type="dxa"/>
            <w:tcBorders>
              <w:top w:val="outset" w:sz="6" w:space="0" w:color="auto"/>
              <w:left w:val="outset" w:sz="6" w:space="0" w:color="auto"/>
              <w:bottom w:val="outset" w:sz="6" w:space="0" w:color="auto"/>
              <w:right w:val="outset" w:sz="6" w:space="0" w:color="auto"/>
            </w:tcBorders>
          </w:tcPr>
          <w:p w:rsidR="002413A6" w:rsidRPr="00221BBF" w:rsidRDefault="00112880" w:rsidP="004E50A6">
            <w:pPr>
              <w:pStyle w:val="naiskr"/>
            </w:pPr>
            <w:r w:rsidRPr="00221BBF">
              <w:rPr>
                <w:color w:val="414142"/>
              </w:rPr>
              <w:t>Projekta izstrādē iesaistītās institūcijas</w:t>
            </w:r>
          </w:p>
        </w:tc>
        <w:tc>
          <w:tcPr>
            <w:tcW w:w="5589" w:type="dxa"/>
            <w:tcBorders>
              <w:top w:val="outset" w:sz="6" w:space="0" w:color="auto"/>
              <w:left w:val="outset" w:sz="6" w:space="0" w:color="auto"/>
              <w:bottom w:val="outset" w:sz="6" w:space="0" w:color="auto"/>
              <w:right w:val="outset" w:sz="6" w:space="0" w:color="auto"/>
            </w:tcBorders>
          </w:tcPr>
          <w:p w:rsidR="002413A6" w:rsidRPr="00221BBF" w:rsidRDefault="00112880" w:rsidP="004E50A6">
            <w:pPr>
              <w:pStyle w:val="naiskr"/>
            </w:pPr>
            <w:r w:rsidRPr="00221BBF">
              <w:t xml:space="preserve">Projekts izstrādāts Aizsardzības ministrijā.  </w:t>
            </w:r>
          </w:p>
        </w:tc>
      </w:tr>
      <w:tr w:rsidR="002413A6" w:rsidRPr="00221BBF" w:rsidTr="005979A0">
        <w:trPr>
          <w:trHeight w:val="384"/>
          <w:tblCellSpacing w:w="0" w:type="dxa"/>
        </w:trPr>
        <w:tc>
          <w:tcPr>
            <w:tcW w:w="290" w:type="dxa"/>
            <w:tcBorders>
              <w:top w:val="outset" w:sz="6" w:space="0" w:color="auto"/>
              <w:left w:val="outset" w:sz="6" w:space="0" w:color="auto"/>
              <w:bottom w:val="outset" w:sz="6" w:space="0" w:color="auto"/>
              <w:right w:val="outset" w:sz="6" w:space="0" w:color="auto"/>
            </w:tcBorders>
          </w:tcPr>
          <w:p w:rsidR="002413A6" w:rsidRPr="00221BBF" w:rsidRDefault="002413A6" w:rsidP="004E50A6">
            <w:pPr>
              <w:pStyle w:val="naiskr"/>
            </w:pPr>
            <w:r w:rsidRPr="00221BBF">
              <w:t> 4.</w:t>
            </w:r>
          </w:p>
        </w:tc>
        <w:tc>
          <w:tcPr>
            <w:tcW w:w="3377" w:type="dxa"/>
            <w:tcBorders>
              <w:top w:val="outset" w:sz="6" w:space="0" w:color="auto"/>
              <w:left w:val="outset" w:sz="6" w:space="0" w:color="auto"/>
              <w:bottom w:val="outset" w:sz="6" w:space="0" w:color="auto"/>
              <w:right w:val="outset" w:sz="6" w:space="0" w:color="auto"/>
            </w:tcBorders>
          </w:tcPr>
          <w:p w:rsidR="002413A6" w:rsidRPr="00221BBF" w:rsidRDefault="002413A6" w:rsidP="004E50A6">
            <w:pPr>
              <w:pStyle w:val="naiskr"/>
            </w:pPr>
            <w:r w:rsidRPr="00221BBF">
              <w:t> </w:t>
            </w:r>
            <w:r w:rsidR="00112880" w:rsidRPr="00221BBF">
              <w:rPr>
                <w:color w:val="414142"/>
              </w:rPr>
              <w:t>Cita informācija</w:t>
            </w:r>
          </w:p>
        </w:tc>
        <w:tc>
          <w:tcPr>
            <w:tcW w:w="5589" w:type="dxa"/>
            <w:tcBorders>
              <w:top w:val="outset" w:sz="6" w:space="0" w:color="auto"/>
              <w:left w:val="outset" w:sz="6" w:space="0" w:color="auto"/>
              <w:bottom w:val="outset" w:sz="6" w:space="0" w:color="auto"/>
              <w:right w:val="outset" w:sz="6" w:space="0" w:color="auto"/>
            </w:tcBorders>
          </w:tcPr>
          <w:p w:rsidR="002413A6" w:rsidRPr="00221BBF" w:rsidRDefault="00112880" w:rsidP="00112880">
            <w:pPr>
              <w:autoSpaceDE w:val="0"/>
              <w:autoSpaceDN w:val="0"/>
              <w:adjustRightInd w:val="0"/>
              <w:jc w:val="both"/>
            </w:pPr>
            <w:r w:rsidRPr="00221BBF">
              <w:t xml:space="preserve">Aizsardzības ministrija nodrošinās Latvijas saistības tāpat kā līdz šim atbilstoši piešķirtajiem valsts budžeta līdzekļiem budžeta programmas 22.00.00 "Nacionālie bruņotie spēki" ietvaros no starptautiskajām operācijām paredzētajiem līdzekļiem. </w:t>
            </w:r>
          </w:p>
        </w:tc>
      </w:tr>
    </w:tbl>
    <w:p w:rsidR="00C257C7" w:rsidRPr="00221BBF" w:rsidRDefault="00C257C7" w:rsidP="004E50A6">
      <w:pPr>
        <w:pStyle w:val="naiskr"/>
        <w:spacing w:before="0" w:beforeAutospacing="0" w:after="0" w:afterAutospacing="0"/>
      </w:pPr>
    </w:p>
    <w:tbl>
      <w:tblPr>
        <w:tblW w:w="4671" w:type="pct"/>
        <w:tblCellSpacing w:w="15" w:type="dxa"/>
        <w:tblInd w:w="3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8"/>
        <w:gridCol w:w="2911"/>
        <w:gridCol w:w="5974"/>
      </w:tblGrid>
      <w:tr w:rsidR="00112880" w:rsidRPr="00221BBF" w:rsidTr="000E7E3E">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12880" w:rsidRPr="00221BBF" w:rsidRDefault="00112880" w:rsidP="00EF65DB">
            <w:pPr>
              <w:spacing w:before="100" w:beforeAutospacing="1" w:after="100" w:afterAutospacing="1" w:line="360" w:lineRule="auto"/>
              <w:ind w:firstLine="300"/>
              <w:jc w:val="center"/>
              <w:rPr>
                <w:b/>
                <w:bCs/>
                <w:color w:val="414142"/>
              </w:rPr>
            </w:pPr>
            <w:r w:rsidRPr="00221BBF">
              <w:rPr>
                <w:b/>
                <w:bCs/>
                <w:color w:val="414142"/>
              </w:rPr>
              <w:lastRenderedPageBreak/>
              <w:t>II. Tiesību akta projekta ietekme uz sabiedrību, tautsaimniecības attīstību un administratīvo slogu</w:t>
            </w:r>
          </w:p>
        </w:tc>
      </w:tr>
      <w:tr w:rsidR="00112880" w:rsidRPr="00221BBF" w:rsidTr="000E7E3E">
        <w:trPr>
          <w:trHeight w:val="465"/>
          <w:tblCellSpacing w:w="15" w:type="dxa"/>
        </w:trPr>
        <w:tc>
          <w:tcPr>
            <w:tcW w:w="155" w:type="pct"/>
            <w:tcBorders>
              <w:top w:val="outset" w:sz="6" w:space="0" w:color="auto"/>
              <w:left w:val="outset" w:sz="6" w:space="0" w:color="auto"/>
              <w:bottom w:val="outset" w:sz="6" w:space="0" w:color="auto"/>
              <w:right w:val="outset" w:sz="6" w:space="0" w:color="auto"/>
            </w:tcBorders>
            <w:hideMark/>
          </w:tcPr>
          <w:p w:rsidR="00112880" w:rsidRPr="00221BBF" w:rsidRDefault="00112880" w:rsidP="00EF65DB">
            <w:pPr>
              <w:rPr>
                <w:color w:val="414142"/>
              </w:rPr>
            </w:pPr>
            <w:r w:rsidRPr="00221BBF">
              <w:rPr>
                <w:color w:val="414142"/>
              </w:rPr>
              <w:t>1.</w:t>
            </w:r>
          </w:p>
        </w:tc>
        <w:tc>
          <w:tcPr>
            <w:tcW w:w="1574" w:type="pct"/>
            <w:tcBorders>
              <w:top w:val="outset" w:sz="6" w:space="0" w:color="auto"/>
              <w:left w:val="outset" w:sz="6" w:space="0" w:color="auto"/>
              <w:bottom w:val="outset" w:sz="6" w:space="0" w:color="auto"/>
              <w:right w:val="outset" w:sz="6" w:space="0" w:color="auto"/>
            </w:tcBorders>
            <w:hideMark/>
          </w:tcPr>
          <w:p w:rsidR="00112880" w:rsidRPr="00221BBF" w:rsidRDefault="00112880" w:rsidP="00EF65DB">
            <w:pPr>
              <w:rPr>
                <w:color w:val="414142"/>
              </w:rPr>
            </w:pPr>
            <w:r w:rsidRPr="00221BBF">
              <w:rPr>
                <w:color w:val="414142"/>
              </w:rPr>
              <w:t>Sabiedrības mērķgrupas, kuras tiesiskais regulējums ietekmē vai varētu ietekmēt</w:t>
            </w:r>
          </w:p>
        </w:tc>
        <w:tc>
          <w:tcPr>
            <w:tcW w:w="3206" w:type="pct"/>
            <w:tcBorders>
              <w:top w:val="outset" w:sz="6" w:space="0" w:color="auto"/>
              <w:left w:val="outset" w:sz="6" w:space="0" w:color="auto"/>
              <w:bottom w:val="outset" w:sz="6" w:space="0" w:color="auto"/>
              <w:right w:val="outset" w:sz="6" w:space="0" w:color="auto"/>
            </w:tcBorders>
            <w:hideMark/>
          </w:tcPr>
          <w:p w:rsidR="00112880" w:rsidRPr="00221BBF" w:rsidRDefault="00112880" w:rsidP="00EF65DB">
            <w:pPr>
              <w:rPr>
                <w:color w:val="414142"/>
              </w:rPr>
            </w:pPr>
            <w:r w:rsidRPr="00221BBF">
              <w:rPr>
                <w:color w:val="414142"/>
              </w:rPr>
              <w:t>Tiesiskais regulējums attiecināms uz Nacionālo bruņoto spēku personālu.</w:t>
            </w:r>
          </w:p>
        </w:tc>
      </w:tr>
      <w:tr w:rsidR="00112880" w:rsidRPr="00221BBF" w:rsidTr="000E7E3E">
        <w:trPr>
          <w:trHeight w:val="510"/>
          <w:tblCellSpacing w:w="15" w:type="dxa"/>
        </w:trPr>
        <w:tc>
          <w:tcPr>
            <w:tcW w:w="155" w:type="pct"/>
            <w:tcBorders>
              <w:top w:val="outset" w:sz="6" w:space="0" w:color="auto"/>
              <w:left w:val="outset" w:sz="6" w:space="0" w:color="auto"/>
              <w:bottom w:val="outset" w:sz="6" w:space="0" w:color="auto"/>
              <w:right w:val="outset" w:sz="6" w:space="0" w:color="auto"/>
            </w:tcBorders>
            <w:hideMark/>
          </w:tcPr>
          <w:p w:rsidR="00112880" w:rsidRPr="00221BBF" w:rsidRDefault="00112880" w:rsidP="00EF65DB">
            <w:pPr>
              <w:rPr>
                <w:color w:val="414142"/>
              </w:rPr>
            </w:pPr>
            <w:r w:rsidRPr="00221BBF">
              <w:rPr>
                <w:color w:val="414142"/>
              </w:rPr>
              <w:t>2.</w:t>
            </w:r>
          </w:p>
        </w:tc>
        <w:tc>
          <w:tcPr>
            <w:tcW w:w="1574" w:type="pct"/>
            <w:tcBorders>
              <w:top w:val="outset" w:sz="6" w:space="0" w:color="auto"/>
              <w:left w:val="outset" w:sz="6" w:space="0" w:color="auto"/>
              <w:bottom w:val="outset" w:sz="6" w:space="0" w:color="auto"/>
              <w:right w:val="outset" w:sz="6" w:space="0" w:color="auto"/>
            </w:tcBorders>
            <w:hideMark/>
          </w:tcPr>
          <w:p w:rsidR="00112880" w:rsidRPr="00221BBF" w:rsidRDefault="00112880" w:rsidP="00EF65DB">
            <w:pPr>
              <w:rPr>
                <w:color w:val="414142"/>
              </w:rPr>
            </w:pPr>
            <w:r w:rsidRPr="00221BBF">
              <w:rPr>
                <w:color w:val="414142"/>
              </w:rPr>
              <w:t>Tiesiskā regulējuma ietekme uz tautsaimniecību un administratīvo slogu</w:t>
            </w:r>
          </w:p>
        </w:tc>
        <w:tc>
          <w:tcPr>
            <w:tcW w:w="3206" w:type="pct"/>
            <w:tcBorders>
              <w:top w:val="outset" w:sz="6" w:space="0" w:color="auto"/>
              <w:left w:val="outset" w:sz="6" w:space="0" w:color="auto"/>
              <w:bottom w:val="outset" w:sz="6" w:space="0" w:color="auto"/>
              <w:right w:val="outset" w:sz="6" w:space="0" w:color="auto"/>
            </w:tcBorders>
            <w:hideMark/>
          </w:tcPr>
          <w:p w:rsidR="00112880" w:rsidRPr="00221BBF" w:rsidRDefault="00112880" w:rsidP="00EF65DB">
            <w:pPr>
              <w:rPr>
                <w:color w:val="414142"/>
              </w:rPr>
            </w:pPr>
            <w:r w:rsidRPr="00221BBF">
              <w:rPr>
                <w:color w:val="414142"/>
              </w:rPr>
              <w:t>Tautsaimniecību neietekmē. Sabiedrības grupu un institūciju tiesības un pienākumus nemaina.</w:t>
            </w:r>
          </w:p>
        </w:tc>
      </w:tr>
      <w:tr w:rsidR="00112880" w:rsidRPr="00221BBF" w:rsidTr="000E7E3E">
        <w:trPr>
          <w:trHeight w:val="510"/>
          <w:tblCellSpacing w:w="15" w:type="dxa"/>
        </w:trPr>
        <w:tc>
          <w:tcPr>
            <w:tcW w:w="155" w:type="pct"/>
            <w:tcBorders>
              <w:top w:val="outset" w:sz="6" w:space="0" w:color="auto"/>
              <w:left w:val="outset" w:sz="6" w:space="0" w:color="auto"/>
              <w:bottom w:val="outset" w:sz="6" w:space="0" w:color="auto"/>
              <w:right w:val="outset" w:sz="6" w:space="0" w:color="auto"/>
            </w:tcBorders>
            <w:hideMark/>
          </w:tcPr>
          <w:p w:rsidR="00112880" w:rsidRPr="00221BBF" w:rsidRDefault="00112880" w:rsidP="00EF65DB">
            <w:pPr>
              <w:rPr>
                <w:color w:val="414142"/>
              </w:rPr>
            </w:pPr>
            <w:r w:rsidRPr="00221BBF">
              <w:rPr>
                <w:color w:val="414142"/>
              </w:rPr>
              <w:t>3.</w:t>
            </w:r>
          </w:p>
        </w:tc>
        <w:tc>
          <w:tcPr>
            <w:tcW w:w="1574" w:type="pct"/>
            <w:tcBorders>
              <w:top w:val="outset" w:sz="6" w:space="0" w:color="auto"/>
              <w:left w:val="outset" w:sz="6" w:space="0" w:color="auto"/>
              <w:bottom w:val="outset" w:sz="6" w:space="0" w:color="auto"/>
              <w:right w:val="outset" w:sz="6" w:space="0" w:color="auto"/>
            </w:tcBorders>
            <w:hideMark/>
          </w:tcPr>
          <w:p w:rsidR="00112880" w:rsidRPr="00221BBF" w:rsidRDefault="00112880" w:rsidP="00EF65DB">
            <w:pPr>
              <w:rPr>
                <w:color w:val="414142"/>
              </w:rPr>
            </w:pPr>
            <w:r w:rsidRPr="00221BBF">
              <w:rPr>
                <w:color w:val="414142"/>
              </w:rPr>
              <w:t>Administratīvo izmaksu monetārs novērtējums</w:t>
            </w:r>
          </w:p>
        </w:tc>
        <w:tc>
          <w:tcPr>
            <w:tcW w:w="3206" w:type="pct"/>
            <w:tcBorders>
              <w:top w:val="outset" w:sz="6" w:space="0" w:color="auto"/>
              <w:left w:val="outset" w:sz="6" w:space="0" w:color="auto"/>
              <w:bottom w:val="outset" w:sz="6" w:space="0" w:color="auto"/>
              <w:right w:val="outset" w:sz="6" w:space="0" w:color="auto"/>
            </w:tcBorders>
            <w:hideMark/>
          </w:tcPr>
          <w:p w:rsidR="00112880" w:rsidRPr="00221BBF" w:rsidRDefault="00112880" w:rsidP="00EF65DB">
            <w:pPr>
              <w:rPr>
                <w:color w:val="414142"/>
              </w:rPr>
            </w:pPr>
            <w:r w:rsidRPr="00221BBF">
              <w:rPr>
                <w:color w:val="414142"/>
              </w:rPr>
              <w:t>Nav.</w:t>
            </w:r>
          </w:p>
        </w:tc>
      </w:tr>
      <w:tr w:rsidR="00112880" w:rsidRPr="00221BBF" w:rsidTr="000E7E3E">
        <w:trPr>
          <w:trHeight w:val="345"/>
          <w:tblCellSpacing w:w="15" w:type="dxa"/>
        </w:trPr>
        <w:tc>
          <w:tcPr>
            <w:tcW w:w="155" w:type="pct"/>
            <w:tcBorders>
              <w:top w:val="outset" w:sz="6" w:space="0" w:color="auto"/>
              <w:left w:val="outset" w:sz="6" w:space="0" w:color="auto"/>
              <w:bottom w:val="outset" w:sz="6" w:space="0" w:color="auto"/>
              <w:right w:val="outset" w:sz="6" w:space="0" w:color="auto"/>
            </w:tcBorders>
            <w:hideMark/>
          </w:tcPr>
          <w:p w:rsidR="00112880" w:rsidRPr="00221BBF" w:rsidRDefault="00112880" w:rsidP="00EF65DB">
            <w:pPr>
              <w:rPr>
                <w:b/>
                <w:color w:val="414142"/>
              </w:rPr>
            </w:pPr>
            <w:r w:rsidRPr="00221BBF">
              <w:rPr>
                <w:b/>
                <w:color w:val="414142"/>
              </w:rPr>
              <w:t>4.</w:t>
            </w:r>
          </w:p>
        </w:tc>
        <w:tc>
          <w:tcPr>
            <w:tcW w:w="1574" w:type="pct"/>
            <w:tcBorders>
              <w:top w:val="outset" w:sz="6" w:space="0" w:color="auto"/>
              <w:left w:val="outset" w:sz="6" w:space="0" w:color="auto"/>
              <w:bottom w:val="outset" w:sz="6" w:space="0" w:color="auto"/>
              <w:right w:val="outset" w:sz="6" w:space="0" w:color="auto"/>
            </w:tcBorders>
            <w:hideMark/>
          </w:tcPr>
          <w:p w:rsidR="00112880" w:rsidRPr="00221BBF" w:rsidRDefault="00112880" w:rsidP="00EF65DB">
            <w:pPr>
              <w:rPr>
                <w:color w:val="414142"/>
              </w:rPr>
            </w:pPr>
            <w:r w:rsidRPr="00221BBF">
              <w:rPr>
                <w:color w:val="414142"/>
              </w:rPr>
              <w:t>Cita informācija</w:t>
            </w:r>
          </w:p>
        </w:tc>
        <w:tc>
          <w:tcPr>
            <w:tcW w:w="3206" w:type="pct"/>
            <w:tcBorders>
              <w:top w:val="outset" w:sz="6" w:space="0" w:color="auto"/>
              <w:left w:val="outset" w:sz="6" w:space="0" w:color="auto"/>
              <w:bottom w:val="outset" w:sz="6" w:space="0" w:color="auto"/>
              <w:right w:val="outset" w:sz="6" w:space="0" w:color="auto"/>
            </w:tcBorders>
            <w:hideMark/>
          </w:tcPr>
          <w:p w:rsidR="00112880" w:rsidRPr="00221BBF" w:rsidRDefault="00112880" w:rsidP="00EF65DB">
            <w:pPr>
              <w:spacing w:before="100" w:beforeAutospacing="1" w:after="100" w:afterAutospacing="1" w:line="360" w:lineRule="auto"/>
              <w:rPr>
                <w:color w:val="414142"/>
              </w:rPr>
            </w:pPr>
            <w:r w:rsidRPr="00221BBF">
              <w:rPr>
                <w:color w:val="414142"/>
              </w:rPr>
              <w:t>Nav</w:t>
            </w:r>
          </w:p>
        </w:tc>
      </w:tr>
    </w:tbl>
    <w:p w:rsidR="00112880" w:rsidRPr="00221BBF" w:rsidRDefault="00112880" w:rsidP="004E50A6">
      <w:pPr>
        <w:pStyle w:val="naiskr"/>
        <w:spacing w:before="0" w:beforeAutospacing="0" w:after="0" w:afterAutospacing="0"/>
      </w:pPr>
    </w:p>
    <w:tbl>
      <w:tblPr>
        <w:tblW w:w="9259" w:type="dxa"/>
        <w:tblInd w:w="30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08"/>
        <w:gridCol w:w="3038"/>
        <w:gridCol w:w="5913"/>
      </w:tblGrid>
      <w:tr w:rsidR="00C257C7" w:rsidRPr="00221BBF" w:rsidTr="000E7E3E">
        <w:tc>
          <w:tcPr>
            <w:tcW w:w="9259" w:type="dxa"/>
            <w:gridSpan w:val="3"/>
            <w:tcBorders>
              <w:top w:val="outset" w:sz="6" w:space="0" w:color="auto"/>
              <w:left w:val="outset" w:sz="6" w:space="0" w:color="auto"/>
              <w:bottom w:val="outset" w:sz="6" w:space="0" w:color="auto"/>
              <w:right w:val="outset" w:sz="6" w:space="0" w:color="auto"/>
            </w:tcBorders>
            <w:vAlign w:val="center"/>
          </w:tcPr>
          <w:p w:rsidR="00C257C7" w:rsidRPr="00221BBF" w:rsidRDefault="00C257C7" w:rsidP="00E07DAD">
            <w:pPr>
              <w:jc w:val="center"/>
              <w:rPr>
                <w:b/>
              </w:rPr>
            </w:pPr>
            <w:r w:rsidRPr="00221BBF">
              <w:rPr>
                <w:b/>
              </w:rPr>
              <w:t>V. Tiesību akta projekta atbilstība Latvijas Republikas starptautiskajām saistībām</w:t>
            </w:r>
          </w:p>
        </w:tc>
      </w:tr>
      <w:tr w:rsidR="00C257C7" w:rsidRPr="00221BBF" w:rsidTr="000E7E3E">
        <w:tc>
          <w:tcPr>
            <w:tcW w:w="308" w:type="dxa"/>
            <w:tcBorders>
              <w:top w:val="outset" w:sz="6" w:space="0" w:color="auto"/>
              <w:left w:val="outset" w:sz="6" w:space="0" w:color="auto"/>
              <w:bottom w:val="outset" w:sz="6" w:space="0" w:color="auto"/>
              <w:right w:val="outset" w:sz="6" w:space="0" w:color="auto"/>
            </w:tcBorders>
          </w:tcPr>
          <w:p w:rsidR="00C257C7" w:rsidRPr="00221BBF" w:rsidRDefault="00C257C7" w:rsidP="00E07DAD">
            <w:pPr>
              <w:ind w:left="57"/>
            </w:pPr>
            <w:r w:rsidRPr="00221BBF">
              <w:t>1.</w:t>
            </w:r>
          </w:p>
        </w:tc>
        <w:tc>
          <w:tcPr>
            <w:tcW w:w="3038" w:type="dxa"/>
            <w:tcBorders>
              <w:top w:val="outset" w:sz="6" w:space="0" w:color="auto"/>
              <w:left w:val="outset" w:sz="6" w:space="0" w:color="auto"/>
              <w:bottom w:val="outset" w:sz="6" w:space="0" w:color="auto"/>
              <w:right w:val="outset" w:sz="6" w:space="0" w:color="auto"/>
            </w:tcBorders>
          </w:tcPr>
          <w:p w:rsidR="00C257C7" w:rsidRPr="00221BBF" w:rsidRDefault="00C257C7" w:rsidP="00E07DAD">
            <w:pPr>
              <w:ind w:left="57"/>
            </w:pPr>
            <w:r w:rsidRPr="00221BBF">
              <w:t>Saistības pret Eiropas Savienību</w:t>
            </w:r>
          </w:p>
        </w:tc>
        <w:tc>
          <w:tcPr>
            <w:tcW w:w="5913" w:type="dxa"/>
            <w:tcBorders>
              <w:top w:val="outset" w:sz="6" w:space="0" w:color="auto"/>
              <w:left w:val="outset" w:sz="6" w:space="0" w:color="auto"/>
              <w:bottom w:val="outset" w:sz="6" w:space="0" w:color="auto"/>
              <w:right w:val="outset" w:sz="6" w:space="0" w:color="auto"/>
            </w:tcBorders>
          </w:tcPr>
          <w:p w:rsidR="00C257C7" w:rsidRPr="00221BBF" w:rsidRDefault="00C257C7" w:rsidP="00E07DAD">
            <w:pPr>
              <w:ind w:left="57"/>
            </w:pPr>
            <w:r w:rsidRPr="00221BBF">
              <w:t>Nav attiecināms.</w:t>
            </w:r>
          </w:p>
        </w:tc>
      </w:tr>
      <w:tr w:rsidR="00C257C7" w:rsidRPr="00221BBF" w:rsidTr="000E7E3E">
        <w:tc>
          <w:tcPr>
            <w:tcW w:w="308" w:type="dxa"/>
            <w:tcBorders>
              <w:top w:val="outset" w:sz="6" w:space="0" w:color="auto"/>
              <w:left w:val="outset" w:sz="6" w:space="0" w:color="auto"/>
              <w:bottom w:val="outset" w:sz="6" w:space="0" w:color="auto"/>
              <w:right w:val="outset" w:sz="6" w:space="0" w:color="auto"/>
            </w:tcBorders>
          </w:tcPr>
          <w:p w:rsidR="00C257C7" w:rsidRPr="00221BBF" w:rsidRDefault="00C257C7" w:rsidP="00E07DAD">
            <w:pPr>
              <w:ind w:left="57"/>
            </w:pPr>
            <w:r w:rsidRPr="00221BBF">
              <w:t>2.</w:t>
            </w:r>
          </w:p>
        </w:tc>
        <w:tc>
          <w:tcPr>
            <w:tcW w:w="3038" w:type="dxa"/>
            <w:tcBorders>
              <w:top w:val="outset" w:sz="6" w:space="0" w:color="auto"/>
              <w:left w:val="outset" w:sz="6" w:space="0" w:color="auto"/>
              <w:bottom w:val="outset" w:sz="6" w:space="0" w:color="auto"/>
              <w:right w:val="outset" w:sz="6" w:space="0" w:color="auto"/>
            </w:tcBorders>
          </w:tcPr>
          <w:p w:rsidR="00C257C7" w:rsidRPr="00221BBF" w:rsidRDefault="00C257C7" w:rsidP="00E07DAD">
            <w:pPr>
              <w:ind w:left="57"/>
            </w:pPr>
            <w:r w:rsidRPr="00221BBF">
              <w:t>Citas starptautiskās saistības</w:t>
            </w:r>
          </w:p>
        </w:tc>
        <w:tc>
          <w:tcPr>
            <w:tcW w:w="5913" w:type="dxa"/>
            <w:tcBorders>
              <w:top w:val="outset" w:sz="6" w:space="0" w:color="auto"/>
              <w:left w:val="outset" w:sz="6" w:space="0" w:color="auto"/>
              <w:bottom w:val="outset" w:sz="6" w:space="0" w:color="auto"/>
              <w:right w:val="outset" w:sz="6" w:space="0" w:color="auto"/>
            </w:tcBorders>
          </w:tcPr>
          <w:p w:rsidR="00112880" w:rsidRPr="00221BBF" w:rsidRDefault="00112880" w:rsidP="00112880">
            <w:pPr>
              <w:jc w:val="both"/>
            </w:pPr>
            <w:r w:rsidRPr="00221BBF">
              <w:t>ANO Drošības Padome 2013.gada 10.oktobra rezolūcija 2120 (2013), pieņemta Drošības padomes 7041.sesijas laikā.</w:t>
            </w:r>
          </w:p>
          <w:p w:rsidR="00C257C7" w:rsidRPr="00221BBF" w:rsidRDefault="00C257C7" w:rsidP="00E07DAD">
            <w:pPr>
              <w:ind w:left="57"/>
            </w:pPr>
          </w:p>
        </w:tc>
      </w:tr>
      <w:tr w:rsidR="00C257C7" w:rsidRPr="00221BBF" w:rsidTr="000E7E3E">
        <w:tc>
          <w:tcPr>
            <w:tcW w:w="308" w:type="dxa"/>
            <w:tcBorders>
              <w:top w:val="outset" w:sz="6" w:space="0" w:color="auto"/>
              <w:left w:val="outset" w:sz="6" w:space="0" w:color="auto"/>
              <w:bottom w:val="outset" w:sz="6" w:space="0" w:color="auto"/>
              <w:right w:val="outset" w:sz="6" w:space="0" w:color="auto"/>
            </w:tcBorders>
          </w:tcPr>
          <w:p w:rsidR="00C257C7" w:rsidRPr="00221BBF" w:rsidRDefault="00C257C7" w:rsidP="00E07DAD">
            <w:pPr>
              <w:ind w:left="57"/>
            </w:pPr>
            <w:r w:rsidRPr="00221BBF">
              <w:t>3.</w:t>
            </w:r>
          </w:p>
        </w:tc>
        <w:tc>
          <w:tcPr>
            <w:tcW w:w="3038" w:type="dxa"/>
            <w:tcBorders>
              <w:top w:val="outset" w:sz="6" w:space="0" w:color="auto"/>
              <w:left w:val="outset" w:sz="6" w:space="0" w:color="auto"/>
              <w:bottom w:val="outset" w:sz="6" w:space="0" w:color="auto"/>
              <w:right w:val="outset" w:sz="6" w:space="0" w:color="auto"/>
            </w:tcBorders>
          </w:tcPr>
          <w:p w:rsidR="00C257C7" w:rsidRPr="00221BBF" w:rsidRDefault="00C257C7" w:rsidP="00E07DAD">
            <w:pPr>
              <w:ind w:left="57"/>
            </w:pPr>
            <w:r w:rsidRPr="00221BBF">
              <w:t>Cita informācija</w:t>
            </w:r>
          </w:p>
        </w:tc>
        <w:tc>
          <w:tcPr>
            <w:tcW w:w="5913" w:type="dxa"/>
            <w:tcBorders>
              <w:top w:val="outset" w:sz="6" w:space="0" w:color="auto"/>
              <w:left w:val="outset" w:sz="6" w:space="0" w:color="auto"/>
              <w:bottom w:val="outset" w:sz="6" w:space="0" w:color="auto"/>
              <w:right w:val="outset" w:sz="6" w:space="0" w:color="auto"/>
            </w:tcBorders>
          </w:tcPr>
          <w:p w:rsidR="00C257C7" w:rsidRPr="00221BBF" w:rsidRDefault="00112880" w:rsidP="00E96162">
            <w:pPr>
              <w:ind w:left="57"/>
              <w:jc w:val="both"/>
            </w:pPr>
            <w:r w:rsidRPr="00221BBF">
              <w:t xml:space="preserve">Saeimai pieņemot lēmumu par </w:t>
            </w:r>
            <w:r w:rsidR="005111D5" w:rsidRPr="00221BBF">
              <w:t xml:space="preserve">termiņa pagarināšanu </w:t>
            </w:r>
            <w:r w:rsidRPr="00221BBF">
              <w:t xml:space="preserve">Latvijas Nacionālo bruņoto spēku karavīru dalībai NATO starptautiskajā operācijā Afganistānā, Latvija </w:t>
            </w:r>
            <w:r w:rsidR="005111D5" w:rsidRPr="00221BBF">
              <w:t>darbosies</w:t>
            </w:r>
            <w:r w:rsidRPr="00221BBF">
              <w:t xml:space="preserve"> NATO misijā atbilstoši NATO Velsas</w:t>
            </w:r>
            <w:r w:rsidR="00E96162" w:rsidRPr="00221BBF">
              <w:t xml:space="preserve"> un Varšavas</w:t>
            </w:r>
            <w:r w:rsidRPr="00221BBF">
              <w:t xml:space="preserve"> samitā nolemtajam. </w:t>
            </w:r>
            <w:r w:rsidRPr="00221BBF">
              <w:rPr>
                <w:bCs/>
              </w:rPr>
              <w:t xml:space="preserve">Tādā veidā tiks īstenots </w:t>
            </w:r>
            <w:r w:rsidRPr="00221BBF">
              <w:t xml:space="preserve">Deklarācijā par </w:t>
            </w:r>
            <w:r w:rsidR="00E96162" w:rsidRPr="00221BBF">
              <w:t>Māra Kučinska</w:t>
            </w:r>
            <w:r w:rsidRPr="00221BBF">
              <w:t xml:space="preserve"> vadītā Ministru kabineta iecerēto darbību plānotais -</w:t>
            </w:r>
            <w:r w:rsidRPr="00221BBF">
              <w:rPr>
                <w:bCs/>
              </w:rPr>
              <w:t xml:space="preserve"> </w:t>
            </w:r>
            <w:r w:rsidRPr="00221BBF">
              <w:t>tiks īstenota Latvijas līdzdalība NATO vadītajā starptautiskajā operācijā.</w:t>
            </w:r>
          </w:p>
        </w:tc>
      </w:tr>
    </w:tbl>
    <w:p w:rsidR="00C257C7" w:rsidRPr="00221BBF" w:rsidRDefault="00C257C7" w:rsidP="004E50A6">
      <w:pPr>
        <w:pStyle w:val="naiskr"/>
        <w:spacing w:before="0" w:beforeAutospacing="0" w:after="0" w:afterAutospacing="0"/>
      </w:pPr>
    </w:p>
    <w:tbl>
      <w:tblPr>
        <w:tblW w:w="4707" w:type="pct"/>
        <w:jc w:val="center"/>
        <w:tblCellSpacing w:w="15" w:type="dxa"/>
        <w:tblInd w:w="141" w:type="dxa"/>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82"/>
        <w:gridCol w:w="3661"/>
        <w:gridCol w:w="5241"/>
      </w:tblGrid>
      <w:tr w:rsidR="00B3436E" w:rsidRPr="00221BBF" w:rsidTr="000E7E3E">
        <w:trPr>
          <w:trHeight w:val="375"/>
          <w:tblCellSpacing w:w="15" w:type="dxa"/>
          <w:jc w:val="center"/>
        </w:trPr>
        <w:tc>
          <w:tcPr>
            <w:tcW w:w="4968" w:type="pct"/>
            <w:gridSpan w:val="3"/>
            <w:vAlign w:val="center"/>
            <w:hideMark/>
          </w:tcPr>
          <w:p w:rsidR="00112880" w:rsidRPr="00221BBF" w:rsidRDefault="00112880" w:rsidP="00EF65DB">
            <w:pPr>
              <w:spacing w:before="100" w:beforeAutospacing="1" w:after="100" w:afterAutospacing="1" w:line="360" w:lineRule="auto"/>
              <w:ind w:firstLine="300"/>
              <w:jc w:val="center"/>
              <w:rPr>
                <w:b/>
                <w:bCs/>
              </w:rPr>
            </w:pPr>
            <w:r w:rsidRPr="00221BBF">
              <w:t> </w:t>
            </w:r>
            <w:r w:rsidRPr="00221BBF">
              <w:rPr>
                <w:b/>
                <w:bCs/>
              </w:rPr>
              <w:t>VII. Tiesību akta projekta izpildes nodrošināšana un tās ietekme uz institūcijām</w:t>
            </w:r>
          </w:p>
        </w:tc>
      </w:tr>
      <w:tr w:rsidR="00B3436E" w:rsidRPr="00221BBF" w:rsidTr="000E7E3E">
        <w:trPr>
          <w:trHeight w:val="420"/>
          <w:tblCellSpacing w:w="15" w:type="dxa"/>
          <w:jc w:val="center"/>
        </w:trPr>
        <w:tc>
          <w:tcPr>
            <w:tcW w:w="183" w:type="pct"/>
            <w:hideMark/>
          </w:tcPr>
          <w:p w:rsidR="00112880" w:rsidRPr="00221BBF" w:rsidRDefault="00112880" w:rsidP="00EF65DB">
            <w:r w:rsidRPr="00221BBF">
              <w:t>1.</w:t>
            </w:r>
          </w:p>
        </w:tc>
        <w:tc>
          <w:tcPr>
            <w:tcW w:w="1968" w:type="pct"/>
            <w:hideMark/>
          </w:tcPr>
          <w:p w:rsidR="00112880" w:rsidRPr="00221BBF" w:rsidRDefault="00112880" w:rsidP="00EF65DB">
            <w:r w:rsidRPr="00221BBF">
              <w:t>Projekta izpildē iesaistītās institūcijas</w:t>
            </w:r>
          </w:p>
        </w:tc>
        <w:tc>
          <w:tcPr>
            <w:tcW w:w="2784" w:type="pct"/>
            <w:hideMark/>
          </w:tcPr>
          <w:p w:rsidR="00112880" w:rsidRPr="00221BBF" w:rsidRDefault="00112880" w:rsidP="00EF65DB">
            <w:pPr>
              <w:jc w:val="both"/>
            </w:pPr>
            <w:r w:rsidRPr="00221BBF">
              <w:t>Projekta izpildi nodrošinās Aizsardzības ministrija, Nacionālie bruņotie spēki.</w:t>
            </w:r>
          </w:p>
        </w:tc>
      </w:tr>
      <w:tr w:rsidR="00B3436E" w:rsidRPr="00221BBF" w:rsidTr="000E7E3E">
        <w:trPr>
          <w:trHeight w:val="450"/>
          <w:tblCellSpacing w:w="15" w:type="dxa"/>
          <w:jc w:val="center"/>
        </w:trPr>
        <w:tc>
          <w:tcPr>
            <w:tcW w:w="183" w:type="pct"/>
            <w:hideMark/>
          </w:tcPr>
          <w:p w:rsidR="00112880" w:rsidRPr="00221BBF" w:rsidRDefault="00112880" w:rsidP="00EF65DB">
            <w:r w:rsidRPr="00221BBF">
              <w:t>2.</w:t>
            </w:r>
          </w:p>
        </w:tc>
        <w:tc>
          <w:tcPr>
            <w:tcW w:w="1968" w:type="pct"/>
            <w:hideMark/>
          </w:tcPr>
          <w:p w:rsidR="00112880" w:rsidRPr="00221BBF" w:rsidRDefault="00112880" w:rsidP="00EF65DB">
            <w:r w:rsidRPr="00221BBF">
              <w:t>Projekta izpildes ietekme uz pārvaldes funkcijām un institucionālo struktūru. Jaunu institūciju izveide, esošu institūciju likvidācija vai reorganizācija, to ietekme uz institūcijas cilvēkresursiem</w:t>
            </w:r>
          </w:p>
        </w:tc>
        <w:tc>
          <w:tcPr>
            <w:tcW w:w="2784" w:type="pct"/>
            <w:hideMark/>
          </w:tcPr>
          <w:p w:rsidR="00112880" w:rsidRPr="00221BBF" w:rsidRDefault="00112880" w:rsidP="00EF65DB">
            <w:pPr>
              <w:jc w:val="both"/>
            </w:pPr>
            <w:r w:rsidRPr="00221BBF">
              <w:t>Pārvaldes funkcijas un institucionālo struktūru neietekmēs. Jaunas institūcijas netiks izveidotas un esošās institūcijas netiks likvidētas.</w:t>
            </w:r>
          </w:p>
        </w:tc>
      </w:tr>
      <w:tr w:rsidR="00B3436E" w:rsidRPr="00221BBF" w:rsidTr="000E7E3E">
        <w:trPr>
          <w:trHeight w:val="381"/>
          <w:tblCellSpacing w:w="15" w:type="dxa"/>
          <w:jc w:val="center"/>
        </w:trPr>
        <w:tc>
          <w:tcPr>
            <w:tcW w:w="183" w:type="pct"/>
            <w:hideMark/>
          </w:tcPr>
          <w:p w:rsidR="00112880" w:rsidRPr="00221BBF" w:rsidRDefault="00112880" w:rsidP="00EF65DB">
            <w:r w:rsidRPr="00221BBF">
              <w:t>3.</w:t>
            </w:r>
          </w:p>
        </w:tc>
        <w:tc>
          <w:tcPr>
            <w:tcW w:w="1968" w:type="pct"/>
            <w:hideMark/>
          </w:tcPr>
          <w:p w:rsidR="00112880" w:rsidRPr="00221BBF" w:rsidRDefault="00112880" w:rsidP="00EF65DB">
            <w:r w:rsidRPr="00221BBF">
              <w:t>Cita informācija</w:t>
            </w:r>
          </w:p>
        </w:tc>
        <w:tc>
          <w:tcPr>
            <w:tcW w:w="2784" w:type="pct"/>
            <w:hideMark/>
          </w:tcPr>
          <w:p w:rsidR="00112880" w:rsidRPr="00221BBF" w:rsidRDefault="00112880" w:rsidP="00EF65DB">
            <w:pPr>
              <w:spacing w:before="100" w:beforeAutospacing="1" w:after="100" w:afterAutospacing="1" w:line="360" w:lineRule="auto"/>
              <w:ind w:firstLine="300"/>
            </w:pPr>
            <w:r w:rsidRPr="00221BBF">
              <w:t>Nav.</w:t>
            </w:r>
          </w:p>
        </w:tc>
      </w:tr>
    </w:tbl>
    <w:p w:rsidR="00112880" w:rsidRPr="00221BBF" w:rsidRDefault="00112880" w:rsidP="004E50A6">
      <w:pPr>
        <w:pStyle w:val="naiskr"/>
        <w:spacing w:before="0" w:beforeAutospacing="0" w:after="0" w:afterAutospacing="0"/>
      </w:pPr>
    </w:p>
    <w:p w:rsidR="00112880" w:rsidRPr="00221BBF" w:rsidRDefault="00112880" w:rsidP="004E50A6">
      <w:pPr>
        <w:pStyle w:val="naiskr"/>
        <w:spacing w:before="0" w:beforeAutospacing="0" w:after="0" w:afterAutospacing="0"/>
      </w:pPr>
    </w:p>
    <w:p w:rsidR="004E50A6" w:rsidRPr="00221BBF" w:rsidRDefault="004E50A6" w:rsidP="004E50A6">
      <w:pPr>
        <w:pStyle w:val="naiskr"/>
        <w:spacing w:before="0" w:beforeAutospacing="0" w:after="0" w:afterAutospacing="0"/>
      </w:pPr>
      <w:r w:rsidRPr="00221BBF">
        <w:t>Anotācijas</w:t>
      </w:r>
      <w:proofErr w:type="gramStart"/>
      <w:r w:rsidRPr="00221BBF">
        <w:t xml:space="preserve"> </w:t>
      </w:r>
      <w:r w:rsidR="00383767" w:rsidRPr="00221BBF">
        <w:t xml:space="preserve"> </w:t>
      </w:r>
      <w:proofErr w:type="gramEnd"/>
      <w:r w:rsidR="00732FFA" w:rsidRPr="00221BBF">
        <w:t>III, IV un</w:t>
      </w:r>
      <w:r w:rsidR="007356DF" w:rsidRPr="00221BBF">
        <w:t xml:space="preserve"> </w:t>
      </w:r>
      <w:r w:rsidRPr="00221BBF">
        <w:t>VI</w:t>
      </w:r>
      <w:r w:rsidR="007356DF" w:rsidRPr="00221BBF">
        <w:t xml:space="preserve"> </w:t>
      </w:r>
      <w:r w:rsidRPr="00221BBF">
        <w:t>sadaļa - nav attiecināms.  </w:t>
      </w:r>
    </w:p>
    <w:p w:rsidR="007356DF" w:rsidRPr="00221BBF" w:rsidRDefault="007356DF" w:rsidP="004E50A6">
      <w:pPr>
        <w:tabs>
          <w:tab w:val="right" w:pos="9074"/>
        </w:tabs>
        <w:rPr>
          <w:color w:val="2A2A2A"/>
        </w:rPr>
      </w:pPr>
    </w:p>
    <w:p w:rsidR="00A66AF0" w:rsidRPr="00221BBF" w:rsidRDefault="00A66AF0" w:rsidP="004E50A6">
      <w:pPr>
        <w:tabs>
          <w:tab w:val="right" w:pos="9074"/>
        </w:tabs>
        <w:rPr>
          <w:color w:val="2A2A2A"/>
        </w:rPr>
      </w:pPr>
    </w:p>
    <w:p w:rsidR="005A0C8D" w:rsidRPr="00221BBF" w:rsidRDefault="005A0C8D" w:rsidP="004E50A6">
      <w:pPr>
        <w:tabs>
          <w:tab w:val="right" w:pos="9074"/>
        </w:tabs>
        <w:rPr>
          <w:color w:val="2A2A2A"/>
        </w:rPr>
      </w:pPr>
    </w:p>
    <w:p w:rsidR="005A0C8D" w:rsidRPr="00221BBF" w:rsidRDefault="005A0C8D" w:rsidP="005B3063">
      <w:pPr>
        <w:tabs>
          <w:tab w:val="right" w:pos="9074"/>
        </w:tabs>
      </w:pPr>
      <w:r w:rsidRPr="00221BBF">
        <w:t>A</w:t>
      </w:r>
      <w:r w:rsidR="000008AE" w:rsidRPr="00221BBF">
        <w:t>izsardzības ministr</w:t>
      </w:r>
      <w:r w:rsidR="005B3063" w:rsidRPr="00221BBF">
        <w:t>s</w:t>
      </w:r>
      <w:r w:rsidR="000008AE" w:rsidRPr="00221BBF">
        <w:t xml:space="preserve"> </w:t>
      </w:r>
      <w:r w:rsidR="005B3063" w:rsidRPr="00221BBF">
        <w:tab/>
      </w:r>
      <w:r w:rsidR="00732FFA" w:rsidRPr="00221BBF">
        <w:t>R. Bergmanis</w:t>
      </w:r>
    </w:p>
    <w:p w:rsidR="005B3063" w:rsidRPr="00221BBF" w:rsidRDefault="005B3063" w:rsidP="000F260F">
      <w:pPr>
        <w:pStyle w:val="naisf"/>
        <w:tabs>
          <w:tab w:val="left" w:pos="4575"/>
          <w:tab w:val="right" w:pos="9000"/>
        </w:tabs>
        <w:spacing w:before="0" w:after="0"/>
      </w:pPr>
    </w:p>
    <w:p w:rsidR="004E50A6" w:rsidRPr="00221BBF" w:rsidRDefault="00312BDD" w:rsidP="000F260F">
      <w:pPr>
        <w:pStyle w:val="naisf"/>
        <w:tabs>
          <w:tab w:val="left" w:pos="4575"/>
          <w:tab w:val="right" w:pos="9000"/>
        </w:tabs>
        <w:spacing w:before="0" w:after="0"/>
      </w:pPr>
      <w:r w:rsidRPr="00221BBF">
        <w:t>V</w:t>
      </w:r>
      <w:r w:rsidR="000F260F" w:rsidRPr="00221BBF">
        <w:t>īza: Valsts sekret</w:t>
      </w:r>
      <w:r w:rsidR="00A628C4">
        <w:t>ārs</w:t>
      </w:r>
      <w:r w:rsidR="004E50A6" w:rsidRPr="00221BBF">
        <w:tab/>
      </w:r>
      <w:r w:rsidR="004E50A6" w:rsidRPr="00221BBF">
        <w:tab/>
      </w:r>
      <w:r w:rsidR="00A628C4">
        <w:t>J.Garisons</w:t>
      </w:r>
    </w:p>
    <w:p w:rsidR="00B50909" w:rsidRPr="00221BBF" w:rsidRDefault="00B50909" w:rsidP="009D098E">
      <w:pPr>
        <w:pStyle w:val="naisf"/>
        <w:tabs>
          <w:tab w:val="left" w:pos="4575"/>
          <w:tab w:val="right" w:pos="9000"/>
        </w:tabs>
      </w:pPr>
    </w:p>
    <w:p w:rsidR="00E37ACD" w:rsidRPr="006C728A" w:rsidRDefault="00B10BD8" w:rsidP="00E37ACD">
      <w:pPr>
        <w:jc w:val="both"/>
        <w:rPr>
          <w:sz w:val="22"/>
          <w:szCs w:val="22"/>
        </w:rPr>
      </w:pPr>
      <w:r>
        <w:rPr>
          <w:sz w:val="22"/>
          <w:szCs w:val="22"/>
        </w:rPr>
        <w:t>29</w:t>
      </w:r>
      <w:r w:rsidR="006C728A" w:rsidRPr="006C728A">
        <w:rPr>
          <w:sz w:val="22"/>
          <w:szCs w:val="22"/>
        </w:rPr>
        <w:t>.11.2016.</w:t>
      </w:r>
    </w:p>
    <w:bookmarkStart w:id="0" w:name="_GoBack"/>
    <w:p w:rsidR="00E37ACD" w:rsidRPr="006C728A" w:rsidRDefault="006C728A" w:rsidP="00E37ACD">
      <w:pPr>
        <w:jc w:val="both"/>
        <w:rPr>
          <w:sz w:val="22"/>
          <w:szCs w:val="22"/>
        </w:rPr>
      </w:pPr>
      <w:r w:rsidRPr="006C728A">
        <w:rPr>
          <w:sz w:val="22"/>
          <w:szCs w:val="22"/>
        </w:rPr>
        <w:fldChar w:fldCharType="begin"/>
      </w:r>
      <w:r w:rsidRPr="006C728A">
        <w:rPr>
          <w:sz w:val="22"/>
          <w:szCs w:val="22"/>
        </w:rPr>
        <w:instrText xml:space="preserve"> INFO  NumWords  \* MERGEFORMAT </w:instrText>
      </w:r>
      <w:r w:rsidRPr="006C728A">
        <w:rPr>
          <w:sz w:val="22"/>
          <w:szCs w:val="22"/>
        </w:rPr>
        <w:fldChar w:fldCharType="separate"/>
      </w:r>
      <w:r w:rsidR="00B44E93">
        <w:rPr>
          <w:sz w:val="22"/>
          <w:szCs w:val="22"/>
        </w:rPr>
        <w:t>786</w:t>
      </w:r>
      <w:r w:rsidRPr="006C728A">
        <w:rPr>
          <w:sz w:val="22"/>
          <w:szCs w:val="22"/>
        </w:rPr>
        <w:fldChar w:fldCharType="end"/>
      </w:r>
    </w:p>
    <w:bookmarkEnd w:id="0"/>
    <w:p w:rsidR="00E37ACD" w:rsidRPr="006C728A" w:rsidRDefault="005B3063" w:rsidP="00E37ACD">
      <w:pPr>
        <w:jc w:val="both"/>
        <w:rPr>
          <w:sz w:val="22"/>
          <w:szCs w:val="22"/>
        </w:rPr>
      </w:pPr>
      <w:r w:rsidRPr="006C728A">
        <w:rPr>
          <w:sz w:val="22"/>
          <w:szCs w:val="22"/>
        </w:rPr>
        <w:t>S.Atvara</w:t>
      </w:r>
    </w:p>
    <w:p w:rsidR="00E25C8A" w:rsidRPr="006C728A" w:rsidRDefault="00E37ACD" w:rsidP="00E37ACD">
      <w:pPr>
        <w:jc w:val="both"/>
        <w:rPr>
          <w:sz w:val="22"/>
          <w:szCs w:val="22"/>
        </w:rPr>
      </w:pPr>
      <w:r w:rsidRPr="006C728A">
        <w:rPr>
          <w:sz w:val="22"/>
          <w:szCs w:val="22"/>
        </w:rPr>
        <w:fldChar w:fldCharType="begin"/>
      </w:r>
      <w:r w:rsidRPr="006C728A">
        <w:rPr>
          <w:sz w:val="22"/>
          <w:szCs w:val="22"/>
        </w:rPr>
        <w:instrText xml:space="preserve"> COMMENTS   \* MERGEFORMAT </w:instrText>
      </w:r>
      <w:r w:rsidRPr="006C728A">
        <w:rPr>
          <w:sz w:val="22"/>
          <w:szCs w:val="22"/>
        </w:rPr>
        <w:fldChar w:fldCharType="separate"/>
      </w:r>
      <w:r w:rsidR="005B3063" w:rsidRPr="006C728A">
        <w:rPr>
          <w:sz w:val="22"/>
          <w:szCs w:val="22"/>
        </w:rPr>
        <w:t>Sigita Atvara</w:t>
      </w:r>
      <w:r w:rsidR="00E25C8A" w:rsidRPr="006C728A">
        <w:rPr>
          <w:sz w:val="22"/>
          <w:szCs w:val="22"/>
        </w:rPr>
        <w:t>@mod.gov.lv</w:t>
      </w:r>
    </w:p>
    <w:p w:rsidR="00E37ACD" w:rsidRPr="006C728A" w:rsidRDefault="00E25C8A" w:rsidP="00E37ACD">
      <w:pPr>
        <w:jc w:val="both"/>
        <w:rPr>
          <w:sz w:val="22"/>
          <w:szCs w:val="22"/>
        </w:rPr>
      </w:pPr>
      <w:proofErr w:type="spellStart"/>
      <w:r w:rsidRPr="006C728A">
        <w:rPr>
          <w:sz w:val="22"/>
          <w:szCs w:val="22"/>
        </w:rPr>
        <w:t>tel</w:t>
      </w:r>
      <w:proofErr w:type="spellEnd"/>
      <w:proofErr w:type="gramStart"/>
      <w:r w:rsidRPr="006C728A">
        <w:rPr>
          <w:sz w:val="22"/>
          <w:szCs w:val="22"/>
        </w:rPr>
        <w:t>:.</w:t>
      </w:r>
      <w:proofErr w:type="gramEnd"/>
      <w:r w:rsidRPr="006C728A">
        <w:rPr>
          <w:sz w:val="22"/>
          <w:szCs w:val="22"/>
        </w:rPr>
        <w:t xml:space="preserve"> 67335</w:t>
      </w:r>
      <w:r w:rsidR="005B3063" w:rsidRPr="006C728A">
        <w:rPr>
          <w:sz w:val="22"/>
          <w:szCs w:val="22"/>
        </w:rPr>
        <w:t>169</w:t>
      </w:r>
      <w:r w:rsidRPr="006C728A">
        <w:rPr>
          <w:sz w:val="22"/>
          <w:szCs w:val="22"/>
        </w:rPr>
        <w:t>; fakss: 67212307</w:t>
      </w:r>
      <w:r w:rsidR="00E37ACD" w:rsidRPr="006C728A">
        <w:rPr>
          <w:sz w:val="22"/>
          <w:szCs w:val="22"/>
        </w:rPr>
        <w:fldChar w:fldCharType="end"/>
      </w:r>
    </w:p>
    <w:p w:rsidR="007356DF" w:rsidRPr="006C728A" w:rsidRDefault="007356DF" w:rsidP="00735AE1">
      <w:pPr>
        <w:rPr>
          <w:sz w:val="22"/>
          <w:szCs w:val="22"/>
        </w:rPr>
      </w:pPr>
    </w:p>
    <w:sectPr w:rsidR="007356DF" w:rsidRPr="006C728A" w:rsidSect="008115E1">
      <w:headerReference w:type="even" r:id="rId8"/>
      <w:footerReference w:type="even" r:id="rId9"/>
      <w:footerReference w:type="default" r:id="rId10"/>
      <w:footerReference w:type="first" r:id="rId11"/>
      <w:pgSz w:w="11906" w:h="16838"/>
      <w:pgMar w:top="1134" w:right="1060" w:bottom="1134" w:left="1134" w:header="720" w:footer="289"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5D" w:rsidRDefault="004F145D">
      <w:r>
        <w:separator/>
      </w:r>
    </w:p>
  </w:endnote>
  <w:endnote w:type="continuationSeparator" w:id="0">
    <w:p w:rsidR="004F145D" w:rsidRDefault="004F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71" w:rsidRDefault="00761671" w:rsidP="00811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671" w:rsidRDefault="00761671" w:rsidP="004E50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71" w:rsidRPr="003B02AA" w:rsidRDefault="00761671" w:rsidP="008115E1">
    <w:pPr>
      <w:pStyle w:val="Footer"/>
      <w:framePr w:wrap="around" w:vAnchor="text" w:hAnchor="margin" w:xAlign="right" w:y="1"/>
      <w:rPr>
        <w:rStyle w:val="PageNumber"/>
        <w:sz w:val="20"/>
        <w:szCs w:val="20"/>
      </w:rPr>
    </w:pPr>
    <w:r w:rsidRPr="003B02AA">
      <w:rPr>
        <w:rStyle w:val="PageNumber"/>
        <w:sz w:val="20"/>
        <w:szCs w:val="20"/>
      </w:rPr>
      <w:fldChar w:fldCharType="begin"/>
    </w:r>
    <w:r w:rsidRPr="003B02AA">
      <w:rPr>
        <w:rStyle w:val="PageNumber"/>
        <w:sz w:val="20"/>
        <w:szCs w:val="20"/>
      </w:rPr>
      <w:instrText xml:space="preserve">PAGE  </w:instrText>
    </w:r>
    <w:r w:rsidRPr="003B02AA">
      <w:rPr>
        <w:rStyle w:val="PageNumber"/>
        <w:sz w:val="20"/>
        <w:szCs w:val="20"/>
      </w:rPr>
      <w:fldChar w:fldCharType="separate"/>
    </w:r>
    <w:r w:rsidR="00B44E93">
      <w:rPr>
        <w:rStyle w:val="PageNumber"/>
        <w:noProof/>
        <w:sz w:val="20"/>
        <w:szCs w:val="20"/>
      </w:rPr>
      <w:t>4</w:t>
    </w:r>
    <w:r w:rsidRPr="003B02AA">
      <w:rPr>
        <w:rStyle w:val="PageNumber"/>
        <w:sz w:val="20"/>
        <w:szCs w:val="20"/>
      </w:rPr>
      <w:fldChar w:fldCharType="end"/>
    </w:r>
  </w:p>
  <w:p w:rsidR="00761671" w:rsidRPr="008115E1" w:rsidRDefault="00761671" w:rsidP="00732FFA">
    <w:pPr>
      <w:pStyle w:val="BodyText2"/>
      <w:jc w:val="both"/>
      <w:rPr>
        <w:sz w:val="20"/>
        <w:szCs w:val="20"/>
      </w:rPr>
    </w:pPr>
    <w:r w:rsidRPr="008115E1">
      <w:rPr>
        <w:sz w:val="20"/>
        <w:szCs w:val="20"/>
      </w:rPr>
      <w:t>AIManot_</w:t>
    </w:r>
    <w:r w:rsidR="005C1CF7">
      <w:rPr>
        <w:sz w:val="20"/>
        <w:szCs w:val="20"/>
      </w:rPr>
      <w:t>08</w:t>
    </w:r>
    <w:r w:rsidR="00501B69">
      <w:rPr>
        <w:sz w:val="20"/>
        <w:szCs w:val="20"/>
      </w:rPr>
      <w:t>1116</w:t>
    </w:r>
    <w:r w:rsidRPr="008115E1">
      <w:rPr>
        <w:sz w:val="20"/>
        <w:szCs w:val="20"/>
      </w:rPr>
      <w:t>_</w:t>
    </w:r>
    <w:r w:rsidR="009D5906">
      <w:rPr>
        <w:sz w:val="20"/>
        <w:szCs w:val="20"/>
      </w:rPr>
      <w:t>afg_</w:t>
    </w:r>
    <w:r w:rsidR="00732FFA">
      <w:rPr>
        <w:sz w:val="20"/>
        <w:szCs w:val="20"/>
      </w:rPr>
      <w:t>resol</w:t>
    </w:r>
    <w:r w:rsidR="009D5906">
      <w:rPr>
        <w:sz w:val="20"/>
        <w:szCs w:val="20"/>
      </w:rPr>
      <w:t>_</w:t>
    </w:r>
    <w:r w:rsidR="00732FFA">
      <w:rPr>
        <w:sz w:val="20"/>
        <w:szCs w:val="20"/>
      </w:rPr>
      <w:t>supp</w:t>
    </w:r>
    <w:r w:rsidRPr="008115E1">
      <w:rPr>
        <w:sz w:val="20"/>
        <w:szCs w:val="20"/>
      </w:rPr>
      <w:t>; Saeimas lēmuma projekt</w:t>
    </w:r>
    <w:r w:rsidR="00E12DFB">
      <w:rPr>
        <w:sz w:val="20"/>
        <w:szCs w:val="20"/>
      </w:rPr>
      <w:t>a</w:t>
    </w:r>
    <w:r w:rsidRPr="008115E1">
      <w:rPr>
        <w:sz w:val="20"/>
        <w:szCs w:val="20"/>
      </w:rPr>
      <w:t xml:space="preserve"> ”Par termiņa pagarināšanu Latvijas Nacionālo bruņoto spēku karavīru dalībai Ziemeļatlantijas līguma organizācijas vadītajā operācijā Afganistānā”</w:t>
    </w:r>
    <w:r w:rsidR="00E12DFB">
      <w:rPr>
        <w:sz w:val="20"/>
        <w:szCs w:val="20"/>
      </w:rPr>
      <w:t xml:space="preserve"> sākotnējās ietekmes izvērtējums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71" w:rsidRPr="00740360" w:rsidRDefault="00761671" w:rsidP="00740360">
    <w:pPr>
      <w:pStyle w:val="BodyText2"/>
      <w:rPr>
        <w:sz w:val="20"/>
        <w:szCs w:val="20"/>
      </w:rPr>
    </w:pPr>
    <w:r w:rsidRPr="00740360">
      <w:rPr>
        <w:sz w:val="20"/>
        <w:szCs w:val="20"/>
      </w:rPr>
      <w:t>AIManot_0</w:t>
    </w:r>
    <w:r>
      <w:rPr>
        <w:sz w:val="20"/>
        <w:szCs w:val="20"/>
      </w:rPr>
      <w:t>7</w:t>
    </w:r>
    <w:r w:rsidRPr="00740360">
      <w:rPr>
        <w:sz w:val="20"/>
        <w:szCs w:val="20"/>
      </w:rPr>
      <w:t>1011_ISAF; Minist</w:t>
    </w:r>
    <w:r>
      <w:rPr>
        <w:sz w:val="20"/>
        <w:szCs w:val="20"/>
      </w:rPr>
      <w:t>ru kabineta rīkojuma projekts</w:t>
    </w:r>
    <w:r w:rsidRPr="00740360">
      <w:rPr>
        <w:sz w:val="20"/>
        <w:szCs w:val="20"/>
      </w:rPr>
      <w:t xml:space="preserve"> „Par termiņa pagarināšanu Latvijas Nacionālo bruņoto spēku karavīru dalībai Ziemeļatlantijas līguma organizācijas vadītajā operācijā Afganistānā” </w:t>
    </w:r>
  </w:p>
  <w:p w:rsidR="00761671" w:rsidRPr="002C34FF" w:rsidRDefault="00761671" w:rsidP="00606F4D">
    <w:pPr>
      <w:jc w:val="both"/>
      <w:rPr>
        <w:sz w:val="20"/>
        <w:szCs w:val="20"/>
      </w:rPr>
    </w:pPr>
  </w:p>
  <w:p w:rsidR="00761671" w:rsidRPr="00EB26FF" w:rsidRDefault="00761671" w:rsidP="004E50A6">
    <w:pPr>
      <w:ind w:hanging="9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5D" w:rsidRDefault="004F145D">
      <w:r>
        <w:separator/>
      </w:r>
    </w:p>
  </w:footnote>
  <w:footnote w:type="continuationSeparator" w:id="0">
    <w:p w:rsidR="004F145D" w:rsidRDefault="004F1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71" w:rsidRDefault="00761671" w:rsidP="004E50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1671" w:rsidRDefault="007616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A6"/>
    <w:rsid w:val="000008AE"/>
    <w:rsid w:val="000318E5"/>
    <w:rsid w:val="000527A6"/>
    <w:rsid w:val="0005533F"/>
    <w:rsid w:val="00060B2D"/>
    <w:rsid w:val="00061CB2"/>
    <w:rsid w:val="00063A42"/>
    <w:rsid w:val="000712BC"/>
    <w:rsid w:val="000714A8"/>
    <w:rsid w:val="00087C03"/>
    <w:rsid w:val="000927CA"/>
    <w:rsid w:val="000B6F42"/>
    <w:rsid w:val="000E7E3E"/>
    <w:rsid w:val="000F260F"/>
    <w:rsid w:val="00102CDC"/>
    <w:rsid w:val="001073A2"/>
    <w:rsid w:val="0011104D"/>
    <w:rsid w:val="00112880"/>
    <w:rsid w:val="00127949"/>
    <w:rsid w:val="00136CFF"/>
    <w:rsid w:val="00150038"/>
    <w:rsid w:val="001620A9"/>
    <w:rsid w:val="00194B4E"/>
    <w:rsid w:val="002045A1"/>
    <w:rsid w:val="002100BF"/>
    <w:rsid w:val="00210B2E"/>
    <w:rsid w:val="00217122"/>
    <w:rsid w:val="00221BBF"/>
    <w:rsid w:val="00231AE2"/>
    <w:rsid w:val="002332AE"/>
    <w:rsid w:val="0023539C"/>
    <w:rsid w:val="002413A6"/>
    <w:rsid w:val="00244B45"/>
    <w:rsid w:val="0025440D"/>
    <w:rsid w:val="00254F63"/>
    <w:rsid w:val="0025752A"/>
    <w:rsid w:val="002625E1"/>
    <w:rsid w:val="0026310F"/>
    <w:rsid w:val="0026706F"/>
    <w:rsid w:val="0029380E"/>
    <w:rsid w:val="00294F3D"/>
    <w:rsid w:val="00297D06"/>
    <w:rsid w:val="002A1B7C"/>
    <w:rsid w:val="002A6EFC"/>
    <w:rsid w:val="002C0787"/>
    <w:rsid w:val="002C58B3"/>
    <w:rsid w:val="002E5EA1"/>
    <w:rsid w:val="00301710"/>
    <w:rsid w:val="003049DC"/>
    <w:rsid w:val="003128BD"/>
    <w:rsid w:val="00312BDD"/>
    <w:rsid w:val="00321B75"/>
    <w:rsid w:val="00330543"/>
    <w:rsid w:val="0033091C"/>
    <w:rsid w:val="003318CA"/>
    <w:rsid w:val="00332B73"/>
    <w:rsid w:val="0037046E"/>
    <w:rsid w:val="00377FD8"/>
    <w:rsid w:val="00383767"/>
    <w:rsid w:val="003837F6"/>
    <w:rsid w:val="00387BF2"/>
    <w:rsid w:val="003C4057"/>
    <w:rsid w:val="003C7E7C"/>
    <w:rsid w:val="003D5BC6"/>
    <w:rsid w:val="003E70B4"/>
    <w:rsid w:val="003F022A"/>
    <w:rsid w:val="004124B8"/>
    <w:rsid w:val="004140F1"/>
    <w:rsid w:val="00433BA2"/>
    <w:rsid w:val="00440BE3"/>
    <w:rsid w:val="0047623B"/>
    <w:rsid w:val="00483621"/>
    <w:rsid w:val="004A183F"/>
    <w:rsid w:val="004B0FCA"/>
    <w:rsid w:val="004D54BE"/>
    <w:rsid w:val="004E3583"/>
    <w:rsid w:val="004E50A6"/>
    <w:rsid w:val="004F145D"/>
    <w:rsid w:val="004F3F5E"/>
    <w:rsid w:val="00501B69"/>
    <w:rsid w:val="005111D5"/>
    <w:rsid w:val="005138B1"/>
    <w:rsid w:val="005174DB"/>
    <w:rsid w:val="00524C33"/>
    <w:rsid w:val="00533018"/>
    <w:rsid w:val="00542FD2"/>
    <w:rsid w:val="0059769F"/>
    <w:rsid w:val="005979A0"/>
    <w:rsid w:val="005A0C8D"/>
    <w:rsid w:val="005A7AB7"/>
    <w:rsid w:val="005B3063"/>
    <w:rsid w:val="005C1CF7"/>
    <w:rsid w:val="00606F4D"/>
    <w:rsid w:val="00607848"/>
    <w:rsid w:val="00622A3A"/>
    <w:rsid w:val="006236C4"/>
    <w:rsid w:val="00667050"/>
    <w:rsid w:val="0066781E"/>
    <w:rsid w:val="00683AF1"/>
    <w:rsid w:val="006C2C0E"/>
    <w:rsid w:val="006C4445"/>
    <w:rsid w:val="006C728A"/>
    <w:rsid w:val="006E4615"/>
    <w:rsid w:val="0070311F"/>
    <w:rsid w:val="00707F38"/>
    <w:rsid w:val="0072232A"/>
    <w:rsid w:val="00730A55"/>
    <w:rsid w:val="00732FFA"/>
    <w:rsid w:val="007356DF"/>
    <w:rsid w:val="00735AE1"/>
    <w:rsid w:val="00740360"/>
    <w:rsid w:val="00740CEA"/>
    <w:rsid w:val="00761671"/>
    <w:rsid w:val="007635F2"/>
    <w:rsid w:val="00764BB8"/>
    <w:rsid w:val="007775D8"/>
    <w:rsid w:val="0079539E"/>
    <w:rsid w:val="007A4C0D"/>
    <w:rsid w:val="007C526C"/>
    <w:rsid w:val="007F3BFE"/>
    <w:rsid w:val="00800636"/>
    <w:rsid w:val="00806358"/>
    <w:rsid w:val="008115E1"/>
    <w:rsid w:val="00813655"/>
    <w:rsid w:val="008140DC"/>
    <w:rsid w:val="00816245"/>
    <w:rsid w:val="00835829"/>
    <w:rsid w:val="00844242"/>
    <w:rsid w:val="00846EAF"/>
    <w:rsid w:val="00852FCF"/>
    <w:rsid w:val="008577A7"/>
    <w:rsid w:val="008650B6"/>
    <w:rsid w:val="00870095"/>
    <w:rsid w:val="00874C4A"/>
    <w:rsid w:val="00884E92"/>
    <w:rsid w:val="00895CA3"/>
    <w:rsid w:val="00897FC1"/>
    <w:rsid w:val="008A0324"/>
    <w:rsid w:val="008B18A6"/>
    <w:rsid w:val="008B5434"/>
    <w:rsid w:val="008B7BBB"/>
    <w:rsid w:val="008C0FE7"/>
    <w:rsid w:val="008E394B"/>
    <w:rsid w:val="009058C3"/>
    <w:rsid w:val="0091266A"/>
    <w:rsid w:val="00920BAF"/>
    <w:rsid w:val="00923BCB"/>
    <w:rsid w:val="00927DB3"/>
    <w:rsid w:val="0093483E"/>
    <w:rsid w:val="00943292"/>
    <w:rsid w:val="009454F1"/>
    <w:rsid w:val="0096046F"/>
    <w:rsid w:val="00967B28"/>
    <w:rsid w:val="00973055"/>
    <w:rsid w:val="0097321F"/>
    <w:rsid w:val="00991E8C"/>
    <w:rsid w:val="0099298D"/>
    <w:rsid w:val="00992DDD"/>
    <w:rsid w:val="009A5491"/>
    <w:rsid w:val="009B688F"/>
    <w:rsid w:val="009C0D33"/>
    <w:rsid w:val="009C2F3F"/>
    <w:rsid w:val="009D098E"/>
    <w:rsid w:val="009D5906"/>
    <w:rsid w:val="00A10D34"/>
    <w:rsid w:val="00A52C67"/>
    <w:rsid w:val="00A628C4"/>
    <w:rsid w:val="00A66AF0"/>
    <w:rsid w:val="00A81BB2"/>
    <w:rsid w:val="00A95A33"/>
    <w:rsid w:val="00AF534E"/>
    <w:rsid w:val="00B0440C"/>
    <w:rsid w:val="00B10BD8"/>
    <w:rsid w:val="00B3436E"/>
    <w:rsid w:val="00B35CD2"/>
    <w:rsid w:val="00B36988"/>
    <w:rsid w:val="00B44E93"/>
    <w:rsid w:val="00B50909"/>
    <w:rsid w:val="00B65E84"/>
    <w:rsid w:val="00B75A37"/>
    <w:rsid w:val="00B82517"/>
    <w:rsid w:val="00BA3E5D"/>
    <w:rsid w:val="00BA42E4"/>
    <w:rsid w:val="00BA632E"/>
    <w:rsid w:val="00BB4E74"/>
    <w:rsid w:val="00BD5FE8"/>
    <w:rsid w:val="00BD758D"/>
    <w:rsid w:val="00BE0D12"/>
    <w:rsid w:val="00C2071E"/>
    <w:rsid w:val="00C257C7"/>
    <w:rsid w:val="00C327B8"/>
    <w:rsid w:val="00C402AD"/>
    <w:rsid w:val="00C66F26"/>
    <w:rsid w:val="00C8645B"/>
    <w:rsid w:val="00CA19D7"/>
    <w:rsid w:val="00CD124D"/>
    <w:rsid w:val="00CF5C5C"/>
    <w:rsid w:val="00D1547A"/>
    <w:rsid w:val="00D157B5"/>
    <w:rsid w:val="00D22A71"/>
    <w:rsid w:val="00D23510"/>
    <w:rsid w:val="00D3390B"/>
    <w:rsid w:val="00D472A1"/>
    <w:rsid w:val="00D523C3"/>
    <w:rsid w:val="00D632B7"/>
    <w:rsid w:val="00D7390D"/>
    <w:rsid w:val="00DE7315"/>
    <w:rsid w:val="00DF4954"/>
    <w:rsid w:val="00E03388"/>
    <w:rsid w:val="00E07DAD"/>
    <w:rsid w:val="00E111F2"/>
    <w:rsid w:val="00E12DFB"/>
    <w:rsid w:val="00E24619"/>
    <w:rsid w:val="00E25C8A"/>
    <w:rsid w:val="00E27DF0"/>
    <w:rsid w:val="00E37ACD"/>
    <w:rsid w:val="00E435D7"/>
    <w:rsid w:val="00E44CC8"/>
    <w:rsid w:val="00E6052D"/>
    <w:rsid w:val="00E608C2"/>
    <w:rsid w:val="00E63BC4"/>
    <w:rsid w:val="00E66C50"/>
    <w:rsid w:val="00E73339"/>
    <w:rsid w:val="00E96162"/>
    <w:rsid w:val="00E96DC6"/>
    <w:rsid w:val="00EA1B54"/>
    <w:rsid w:val="00EA1C6C"/>
    <w:rsid w:val="00EB5EFD"/>
    <w:rsid w:val="00EC3097"/>
    <w:rsid w:val="00EF12C0"/>
    <w:rsid w:val="00EF5A3F"/>
    <w:rsid w:val="00EF65DB"/>
    <w:rsid w:val="00F010C5"/>
    <w:rsid w:val="00F03DF2"/>
    <w:rsid w:val="00F1092B"/>
    <w:rsid w:val="00F112C9"/>
    <w:rsid w:val="00F138FB"/>
    <w:rsid w:val="00F24E3B"/>
    <w:rsid w:val="00F266C4"/>
    <w:rsid w:val="00F26AF3"/>
    <w:rsid w:val="00F3660D"/>
    <w:rsid w:val="00F61823"/>
    <w:rsid w:val="00F65C62"/>
    <w:rsid w:val="00F67840"/>
    <w:rsid w:val="00F96BCC"/>
    <w:rsid w:val="00FB71ED"/>
    <w:rsid w:val="00FB7310"/>
    <w:rsid w:val="00FC230A"/>
    <w:rsid w:val="00FC2930"/>
    <w:rsid w:val="00FE0B79"/>
    <w:rsid w:val="00FE46E8"/>
    <w:rsid w:val="00FE699C"/>
    <w:rsid w:val="00FF5F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0A6"/>
    <w:rPr>
      <w:sz w:val="24"/>
      <w:szCs w:val="24"/>
    </w:rPr>
  </w:style>
  <w:style w:type="paragraph" w:styleId="Heading1">
    <w:name w:val="heading 1"/>
    <w:basedOn w:val="Normal"/>
    <w:qFormat/>
    <w:rsid w:val="00920BAF"/>
    <w:pPr>
      <w:outlineLvl w:val="0"/>
    </w:pPr>
    <w:rPr>
      <w:rFonts w:ascii="Tahoma" w:hAnsi="Tahoma" w:cs="Tahoma"/>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E50A6"/>
    <w:pPr>
      <w:spacing w:before="100" w:beforeAutospacing="1" w:after="100" w:afterAutospacing="1"/>
    </w:pPr>
    <w:rPr>
      <w:lang w:bidi="lo-LA"/>
    </w:rPr>
  </w:style>
  <w:style w:type="paragraph" w:styleId="Header">
    <w:name w:val="header"/>
    <w:basedOn w:val="Normal"/>
    <w:link w:val="HeaderChar"/>
    <w:rsid w:val="004E50A6"/>
    <w:pPr>
      <w:tabs>
        <w:tab w:val="center" w:pos="4153"/>
        <w:tab w:val="right" w:pos="8306"/>
      </w:tabs>
    </w:pPr>
  </w:style>
  <w:style w:type="paragraph" w:styleId="Footer">
    <w:name w:val="footer"/>
    <w:basedOn w:val="Normal"/>
    <w:rsid w:val="004E50A6"/>
    <w:pPr>
      <w:tabs>
        <w:tab w:val="center" w:pos="4153"/>
        <w:tab w:val="right" w:pos="8306"/>
      </w:tabs>
    </w:pPr>
  </w:style>
  <w:style w:type="character" w:styleId="PageNumber">
    <w:name w:val="page number"/>
    <w:basedOn w:val="DefaultParagraphFont"/>
    <w:rsid w:val="004E50A6"/>
  </w:style>
  <w:style w:type="character" w:customStyle="1" w:styleId="HeaderChar">
    <w:name w:val="Header Char"/>
    <w:link w:val="Header"/>
    <w:rsid w:val="004E50A6"/>
    <w:rPr>
      <w:sz w:val="24"/>
      <w:szCs w:val="24"/>
      <w:lang w:val="lv-LV" w:eastAsia="lv-LV" w:bidi="ar-SA"/>
    </w:rPr>
  </w:style>
  <w:style w:type="paragraph" w:customStyle="1" w:styleId="naisc">
    <w:name w:val="naisc"/>
    <w:basedOn w:val="Normal"/>
    <w:rsid w:val="004E50A6"/>
    <w:pPr>
      <w:spacing w:before="100" w:beforeAutospacing="1" w:after="100" w:afterAutospacing="1"/>
    </w:pPr>
  </w:style>
  <w:style w:type="paragraph" w:customStyle="1" w:styleId="naiskr">
    <w:name w:val="naiskr"/>
    <w:basedOn w:val="Normal"/>
    <w:rsid w:val="004E50A6"/>
    <w:pPr>
      <w:spacing w:before="100" w:beforeAutospacing="1" w:after="100" w:afterAutospacing="1"/>
    </w:pPr>
  </w:style>
  <w:style w:type="paragraph" w:customStyle="1" w:styleId="naislab">
    <w:name w:val="naislab"/>
    <w:basedOn w:val="Normal"/>
    <w:rsid w:val="004E50A6"/>
    <w:pPr>
      <w:spacing w:before="100" w:beforeAutospacing="1" w:after="100" w:afterAutospacing="1"/>
    </w:pPr>
  </w:style>
  <w:style w:type="paragraph" w:customStyle="1" w:styleId="naisnod">
    <w:name w:val="naisnod"/>
    <w:basedOn w:val="Normal"/>
    <w:rsid w:val="004E50A6"/>
    <w:pPr>
      <w:spacing w:before="100" w:beforeAutospacing="1" w:after="100" w:afterAutospacing="1"/>
    </w:pPr>
  </w:style>
  <w:style w:type="character" w:customStyle="1" w:styleId="CharChar1">
    <w:name w:val="Char Char1"/>
    <w:semiHidden/>
    <w:locked/>
    <w:rsid w:val="006C2C0E"/>
    <w:rPr>
      <w:rFonts w:cs="Times New Roman"/>
      <w:sz w:val="24"/>
      <w:szCs w:val="24"/>
    </w:rPr>
  </w:style>
  <w:style w:type="paragraph" w:styleId="BodyText2">
    <w:name w:val="Body Text 2"/>
    <w:basedOn w:val="Normal"/>
    <w:rsid w:val="00383767"/>
    <w:pPr>
      <w:spacing w:before="100" w:beforeAutospacing="1" w:after="100" w:afterAutospacing="1"/>
    </w:pPr>
  </w:style>
  <w:style w:type="paragraph" w:styleId="BodyText">
    <w:name w:val="Body Text"/>
    <w:basedOn w:val="Normal"/>
    <w:rsid w:val="007356DF"/>
    <w:pPr>
      <w:spacing w:after="120"/>
    </w:pPr>
  </w:style>
  <w:style w:type="paragraph" w:styleId="NormalWeb">
    <w:name w:val="Normal (Web)"/>
    <w:basedOn w:val="Normal"/>
    <w:rsid w:val="00EA1C6C"/>
    <w:pPr>
      <w:spacing w:before="100" w:beforeAutospacing="1" w:after="100" w:afterAutospacing="1"/>
    </w:pPr>
  </w:style>
  <w:style w:type="paragraph" w:styleId="BalloonText">
    <w:name w:val="Balloon Text"/>
    <w:basedOn w:val="Normal"/>
    <w:link w:val="BalloonTextChar"/>
    <w:rsid w:val="000B6F42"/>
    <w:rPr>
      <w:rFonts w:ascii="Tahoma" w:hAnsi="Tahoma" w:cs="Tahoma"/>
      <w:sz w:val="16"/>
      <w:szCs w:val="16"/>
    </w:rPr>
  </w:style>
  <w:style w:type="character" w:customStyle="1" w:styleId="BalloonTextChar">
    <w:name w:val="Balloon Text Char"/>
    <w:basedOn w:val="DefaultParagraphFont"/>
    <w:link w:val="BalloonText"/>
    <w:rsid w:val="000B6F42"/>
    <w:rPr>
      <w:rFonts w:ascii="Tahoma" w:hAnsi="Tahoma" w:cs="Tahoma"/>
      <w:sz w:val="16"/>
      <w:szCs w:val="16"/>
    </w:rPr>
  </w:style>
  <w:style w:type="character" w:styleId="CommentReference">
    <w:name w:val="annotation reference"/>
    <w:basedOn w:val="DefaultParagraphFont"/>
    <w:rsid w:val="00846EAF"/>
    <w:rPr>
      <w:sz w:val="16"/>
      <w:szCs w:val="16"/>
    </w:rPr>
  </w:style>
  <w:style w:type="paragraph" w:styleId="CommentText">
    <w:name w:val="annotation text"/>
    <w:basedOn w:val="Normal"/>
    <w:link w:val="CommentTextChar"/>
    <w:rsid w:val="00846EAF"/>
    <w:rPr>
      <w:sz w:val="20"/>
      <w:szCs w:val="20"/>
    </w:rPr>
  </w:style>
  <w:style w:type="character" w:customStyle="1" w:styleId="CommentTextChar">
    <w:name w:val="Comment Text Char"/>
    <w:basedOn w:val="DefaultParagraphFont"/>
    <w:link w:val="CommentText"/>
    <w:rsid w:val="00846EAF"/>
  </w:style>
  <w:style w:type="paragraph" w:styleId="CommentSubject">
    <w:name w:val="annotation subject"/>
    <w:basedOn w:val="CommentText"/>
    <w:next w:val="CommentText"/>
    <w:link w:val="CommentSubjectChar"/>
    <w:rsid w:val="00846EAF"/>
    <w:rPr>
      <w:b/>
      <w:bCs/>
    </w:rPr>
  </w:style>
  <w:style w:type="character" w:customStyle="1" w:styleId="CommentSubjectChar">
    <w:name w:val="Comment Subject Char"/>
    <w:basedOn w:val="CommentTextChar"/>
    <w:link w:val="CommentSubject"/>
    <w:rsid w:val="00846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0A6"/>
    <w:rPr>
      <w:sz w:val="24"/>
      <w:szCs w:val="24"/>
    </w:rPr>
  </w:style>
  <w:style w:type="paragraph" w:styleId="Heading1">
    <w:name w:val="heading 1"/>
    <w:basedOn w:val="Normal"/>
    <w:qFormat/>
    <w:rsid w:val="00920BAF"/>
    <w:pPr>
      <w:outlineLvl w:val="0"/>
    </w:pPr>
    <w:rPr>
      <w:rFonts w:ascii="Tahoma" w:hAnsi="Tahoma" w:cs="Tahoma"/>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E50A6"/>
    <w:pPr>
      <w:spacing w:before="100" w:beforeAutospacing="1" w:after="100" w:afterAutospacing="1"/>
    </w:pPr>
    <w:rPr>
      <w:lang w:bidi="lo-LA"/>
    </w:rPr>
  </w:style>
  <w:style w:type="paragraph" w:styleId="Header">
    <w:name w:val="header"/>
    <w:basedOn w:val="Normal"/>
    <w:link w:val="HeaderChar"/>
    <w:rsid w:val="004E50A6"/>
    <w:pPr>
      <w:tabs>
        <w:tab w:val="center" w:pos="4153"/>
        <w:tab w:val="right" w:pos="8306"/>
      </w:tabs>
    </w:pPr>
  </w:style>
  <w:style w:type="paragraph" w:styleId="Footer">
    <w:name w:val="footer"/>
    <w:basedOn w:val="Normal"/>
    <w:rsid w:val="004E50A6"/>
    <w:pPr>
      <w:tabs>
        <w:tab w:val="center" w:pos="4153"/>
        <w:tab w:val="right" w:pos="8306"/>
      </w:tabs>
    </w:pPr>
  </w:style>
  <w:style w:type="character" w:styleId="PageNumber">
    <w:name w:val="page number"/>
    <w:basedOn w:val="DefaultParagraphFont"/>
    <w:rsid w:val="004E50A6"/>
  </w:style>
  <w:style w:type="character" w:customStyle="1" w:styleId="HeaderChar">
    <w:name w:val="Header Char"/>
    <w:link w:val="Header"/>
    <w:rsid w:val="004E50A6"/>
    <w:rPr>
      <w:sz w:val="24"/>
      <w:szCs w:val="24"/>
      <w:lang w:val="lv-LV" w:eastAsia="lv-LV" w:bidi="ar-SA"/>
    </w:rPr>
  </w:style>
  <w:style w:type="paragraph" w:customStyle="1" w:styleId="naisc">
    <w:name w:val="naisc"/>
    <w:basedOn w:val="Normal"/>
    <w:rsid w:val="004E50A6"/>
    <w:pPr>
      <w:spacing w:before="100" w:beforeAutospacing="1" w:after="100" w:afterAutospacing="1"/>
    </w:pPr>
  </w:style>
  <w:style w:type="paragraph" w:customStyle="1" w:styleId="naiskr">
    <w:name w:val="naiskr"/>
    <w:basedOn w:val="Normal"/>
    <w:rsid w:val="004E50A6"/>
    <w:pPr>
      <w:spacing w:before="100" w:beforeAutospacing="1" w:after="100" w:afterAutospacing="1"/>
    </w:pPr>
  </w:style>
  <w:style w:type="paragraph" w:customStyle="1" w:styleId="naislab">
    <w:name w:val="naislab"/>
    <w:basedOn w:val="Normal"/>
    <w:rsid w:val="004E50A6"/>
    <w:pPr>
      <w:spacing w:before="100" w:beforeAutospacing="1" w:after="100" w:afterAutospacing="1"/>
    </w:pPr>
  </w:style>
  <w:style w:type="paragraph" w:customStyle="1" w:styleId="naisnod">
    <w:name w:val="naisnod"/>
    <w:basedOn w:val="Normal"/>
    <w:rsid w:val="004E50A6"/>
    <w:pPr>
      <w:spacing w:before="100" w:beforeAutospacing="1" w:after="100" w:afterAutospacing="1"/>
    </w:pPr>
  </w:style>
  <w:style w:type="character" w:customStyle="1" w:styleId="CharChar1">
    <w:name w:val="Char Char1"/>
    <w:semiHidden/>
    <w:locked/>
    <w:rsid w:val="006C2C0E"/>
    <w:rPr>
      <w:rFonts w:cs="Times New Roman"/>
      <w:sz w:val="24"/>
      <w:szCs w:val="24"/>
    </w:rPr>
  </w:style>
  <w:style w:type="paragraph" w:styleId="BodyText2">
    <w:name w:val="Body Text 2"/>
    <w:basedOn w:val="Normal"/>
    <w:rsid w:val="00383767"/>
    <w:pPr>
      <w:spacing w:before="100" w:beforeAutospacing="1" w:after="100" w:afterAutospacing="1"/>
    </w:pPr>
  </w:style>
  <w:style w:type="paragraph" w:styleId="BodyText">
    <w:name w:val="Body Text"/>
    <w:basedOn w:val="Normal"/>
    <w:rsid w:val="007356DF"/>
    <w:pPr>
      <w:spacing w:after="120"/>
    </w:pPr>
  </w:style>
  <w:style w:type="paragraph" w:styleId="NormalWeb">
    <w:name w:val="Normal (Web)"/>
    <w:basedOn w:val="Normal"/>
    <w:rsid w:val="00EA1C6C"/>
    <w:pPr>
      <w:spacing w:before="100" w:beforeAutospacing="1" w:after="100" w:afterAutospacing="1"/>
    </w:pPr>
  </w:style>
  <w:style w:type="paragraph" w:styleId="BalloonText">
    <w:name w:val="Balloon Text"/>
    <w:basedOn w:val="Normal"/>
    <w:link w:val="BalloonTextChar"/>
    <w:rsid w:val="000B6F42"/>
    <w:rPr>
      <w:rFonts w:ascii="Tahoma" w:hAnsi="Tahoma" w:cs="Tahoma"/>
      <w:sz w:val="16"/>
      <w:szCs w:val="16"/>
    </w:rPr>
  </w:style>
  <w:style w:type="character" w:customStyle="1" w:styleId="BalloonTextChar">
    <w:name w:val="Balloon Text Char"/>
    <w:basedOn w:val="DefaultParagraphFont"/>
    <w:link w:val="BalloonText"/>
    <w:rsid w:val="000B6F42"/>
    <w:rPr>
      <w:rFonts w:ascii="Tahoma" w:hAnsi="Tahoma" w:cs="Tahoma"/>
      <w:sz w:val="16"/>
      <w:szCs w:val="16"/>
    </w:rPr>
  </w:style>
  <w:style w:type="character" w:styleId="CommentReference">
    <w:name w:val="annotation reference"/>
    <w:basedOn w:val="DefaultParagraphFont"/>
    <w:rsid w:val="00846EAF"/>
    <w:rPr>
      <w:sz w:val="16"/>
      <w:szCs w:val="16"/>
    </w:rPr>
  </w:style>
  <w:style w:type="paragraph" w:styleId="CommentText">
    <w:name w:val="annotation text"/>
    <w:basedOn w:val="Normal"/>
    <w:link w:val="CommentTextChar"/>
    <w:rsid w:val="00846EAF"/>
    <w:rPr>
      <w:sz w:val="20"/>
      <w:szCs w:val="20"/>
    </w:rPr>
  </w:style>
  <w:style w:type="character" w:customStyle="1" w:styleId="CommentTextChar">
    <w:name w:val="Comment Text Char"/>
    <w:basedOn w:val="DefaultParagraphFont"/>
    <w:link w:val="CommentText"/>
    <w:rsid w:val="00846EAF"/>
  </w:style>
  <w:style w:type="paragraph" w:styleId="CommentSubject">
    <w:name w:val="annotation subject"/>
    <w:basedOn w:val="CommentText"/>
    <w:next w:val="CommentText"/>
    <w:link w:val="CommentSubjectChar"/>
    <w:rsid w:val="00846EAF"/>
    <w:rPr>
      <w:b/>
      <w:bCs/>
    </w:rPr>
  </w:style>
  <w:style w:type="character" w:customStyle="1" w:styleId="CommentSubjectChar">
    <w:name w:val="Comment Subject Char"/>
    <w:basedOn w:val="CommentTextChar"/>
    <w:link w:val="CommentSubject"/>
    <w:rsid w:val="00846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933">
      <w:bodyDiv w:val="1"/>
      <w:marLeft w:val="0"/>
      <w:marRight w:val="0"/>
      <w:marTop w:val="0"/>
      <w:marBottom w:val="0"/>
      <w:divBdr>
        <w:top w:val="none" w:sz="0" w:space="0" w:color="auto"/>
        <w:left w:val="none" w:sz="0" w:space="0" w:color="auto"/>
        <w:bottom w:val="none" w:sz="0" w:space="0" w:color="auto"/>
        <w:right w:val="none" w:sz="0" w:space="0" w:color="auto"/>
      </w:divBdr>
    </w:div>
    <w:div w:id="74596216">
      <w:bodyDiv w:val="1"/>
      <w:marLeft w:val="0"/>
      <w:marRight w:val="0"/>
      <w:marTop w:val="0"/>
      <w:marBottom w:val="0"/>
      <w:divBdr>
        <w:top w:val="none" w:sz="0" w:space="0" w:color="auto"/>
        <w:left w:val="none" w:sz="0" w:space="0" w:color="auto"/>
        <w:bottom w:val="none" w:sz="0" w:space="0" w:color="auto"/>
        <w:right w:val="none" w:sz="0" w:space="0" w:color="auto"/>
      </w:divBdr>
    </w:div>
    <w:div w:id="8187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67DE-678D-4260-BFA2-8B245A22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786</Words>
  <Characters>5998</Characters>
  <Application>Microsoft Office Word</Application>
  <DocSecurity>0</DocSecurity>
  <Lines>187</Lines>
  <Paragraphs>73</Paragraphs>
  <ScaleCrop>false</ScaleCrop>
  <HeadingPairs>
    <vt:vector size="2" baseType="variant">
      <vt:variant>
        <vt:lpstr>Title</vt:lpstr>
      </vt:variant>
      <vt:variant>
        <vt:i4>1</vt:i4>
      </vt:variant>
    </vt:vector>
  </HeadingPairs>
  <TitlesOfParts>
    <vt:vector size="1" baseType="lpstr">
      <vt:lpstr>AIManot_081116_afg_resol_supp;</vt:lpstr>
    </vt:vector>
  </TitlesOfParts>
  <Manager>Juridiskais  departaments</Manager>
  <Company>Aizsardzības ministrija</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AIManot_081116_afg_resol_supp;</dc:title>
  <dc:subject>Saeimas lēmuma projekta ”Par termiņa pagarināšanu Latvijas Nacionālo bruņoto spēku karavīru dalībai Ziemeļatlantijas līguma organizācijas vadītajā operācijā Afganistānā” sākotnējās ietekmes izvērtējums (anotācija)</dc:subject>
  <dc:creator>S.Atvara</dc:creator>
  <dc:description>Sgita.Atvara@mod.gov.lv_x000d_
tel:. 67335169; fakss: 67212307</dc:description>
  <cp:lastModifiedBy>Sigita Atvara</cp:lastModifiedBy>
  <cp:revision>19</cp:revision>
  <cp:lastPrinted>2016-11-29T12:55:00Z</cp:lastPrinted>
  <dcterms:created xsi:type="dcterms:W3CDTF">2016-11-08T11:10:00Z</dcterms:created>
  <dcterms:modified xsi:type="dcterms:W3CDTF">2016-11-29T12:55:00Z</dcterms:modified>
</cp:coreProperties>
</file>